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1A" w:rsidRPr="00F73880" w:rsidRDefault="0005031A" w:rsidP="002A03C7">
      <w:pPr>
        <w:jc w:val="center"/>
        <w:rPr>
          <w:b/>
          <w:sz w:val="40"/>
          <w:szCs w:val="40"/>
        </w:rPr>
      </w:pPr>
    </w:p>
    <w:p w:rsidR="0005031A" w:rsidRPr="00C6247E" w:rsidRDefault="0005031A" w:rsidP="00C6247E">
      <w:pPr>
        <w:ind w:firstLine="0"/>
        <w:jc w:val="center"/>
        <w:rPr>
          <w:b/>
        </w:rPr>
      </w:pPr>
      <w:bookmarkStart w:id="0" w:name="_Toc418154953"/>
      <w:bookmarkStart w:id="1" w:name="_Toc449537776"/>
      <w:r w:rsidRPr="00C6247E">
        <w:rPr>
          <w:b/>
          <w:sz w:val="40"/>
          <w:szCs w:val="40"/>
        </w:rPr>
        <w:t>Д О К Л А Д</w:t>
      </w:r>
      <w:bookmarkEnd w:id="0"/>
      <w:bookmarkEnd w:id="1"/>
    </w:p>
    <w:p w:rsidR="0005031A" w:rsidRPr="00C6247E" w:rsidRDefault="0005031A" w:rsidP="00C6247E">
      <w:pPr>
        <w:pStyle w:val="ConsPlusNonformat"/>
        <w:widowControl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5031A" w:rsidRPr="00C6247E" w:rsidRDefault="0005031A" w:rsidP="00C6247E">
      <w:pPr>
        <w:spacing w:line="240" w:lineRule="auto"/>
        <w:ind w:firstLine="0"/>
        <w:jc w:val="center"/>
        <w:rPr>
          <w:b/>
          <w:sz w:val="36"/>
          <w:szCs w:val="36"/>
          <w:u w:val="single"/>
        </w:rPr>
      </w:pPr>
      <w:bookmarkStart w:id="2" w:name="_Toc418154954"/>
      <w:bookmarkStart w:id="3" w:name="_Toc449537777"/>
      <w:proofErr w:type="spellStart"/>
      <w:r w:rsidRPr="00C6247E">
        <w:rPr>
          <w:b/>
          <w:sz w:val="36"/>
          <w:szCs w:val="36"/>
          <w:u w:val="single"/>
        </w:rPr>
        <w:t>Саломатина</w:t>
      </w:r>
      <w:proofErr w:type="spellEnd"/>
      <w:r w:rsidRPr="00C6247E">
        <w:rPr>
          <w:b/>
          <w:sz w:val="36"/>
          <w:szCs w:val="36"/>
          <w:u w:val="single"/>
        </w:rPr>
        <w:t xml:space="preserve"> Бориса Александровича,</w:t>
      </w:r>
      <w:bookmarkEnd w:id="2"/>
      <w:bookmarkEnd w:id="3"/>
    </w:p>
    <w:p w:rsidR="0005031A" w:rsidRPr="00C6247E" w:rsidRDefault="0005031A" w:rsidP="00C6247E">
      <w:pPr>
        <w:spacing w:line="240" w:lineRule="auto"/>
        <w:ind w:firstLine="0"/>
        <w:jc w:val="center"/>
        <w:rPr>
          <w:sz w:val="32"/>
          <w:szCs w:val="32"/>
          <w:vertAlign w:val="superscript"/>
        </w:rPr>
      </w:pPr>
      <w:bookmarkStart w:id="4" w:name="_Toc418154955"/>
      <w:bookmarkStart w:id="5" w:name="_Toc449537778"/>
      <w:r w:rsidRPr="00C6247E">
        <w:rPr>
          <w:sz w:val="32"/>
          <w:szCs w:val="32"/>
          <w:vertAlign w:val="superscript"/>
        </w:rPr>
        <w:t>Ф.И.О. главы местной администрации муниципального района</w:t>
      </w:r>
      <w:bookmarkEnd w:id="4"/>
      <w:bookmarkEnd w:id="5"/>
    </w:p>
    <w:p w:rsidR="0005031A" w:rsidRPr="00C6247E" w:rsidRDefault="0005031A" w:rsidP="00C6247E">
      <w:pPr>
        <w:ind w:firstLine="0"/>
        <w:jc w:val="center"/>
        <w:rPr>
          <w:b/>
          <w:sz w:val="36"/>
          <w:szCs w:val="36"/>
          <w:u w:val="single"/>
        </w:rPr>
      </w:pPr>
    </w:p>
    <w:p w:rsidR="0005031A" w:rsidRPr="00C6247E" w:rsidRDefault="0005031A" w:rsidP="00C6247E">
      <w:pPr>
        <w:ind w:firstLine="0"/>
        <w:jc w:val="center"/>
        <w:rPr>
          <w:b/>
          <w:sz w:val="36"/>
          <w:szCs w:val="36"/>
          <w:u w:val="single"/>
        </w:rPr>
      </w:pPr>
      <w:bookmarkStart w:id="6" w:name="_Toc418154956"/>
      <w:bookmarkStart w:id="7" w:name="_Toc449537779"/>
      <w:proofErr w:type="gramStart"/>
      <w:r w:rsidRPr="00C6247E">
        <w:rPr>
          <w:b/>
          <w:sz w:val="36"/>
          <w:szCs w:val="36"/>
          <w:u w:val="single"/>
        </w:rPr>
        <w:t>Главы  Нижневартовского</w:t>
      </w:r>
      <w:proofErr w:type="gramEnd"/>
      <w:r w:rsidRPr="00C6247E">
        <w:rPr>
          <w:b/>
          <w:sz w:val="36"/>
          <w:szCs w:val="36"/>
          <w:u w:val="single"/>
        </w:rPr>
        <w:t xml:space="preserve"> района</w:t>
      </w:r>
      <w:bookmarkEnd w:id="6"/>
      <w:bookmarkEnd w:id="7"/>
    </w:p>
    <w:p w:rsidR="0005031A" w:rsidRPr="00C6247E" w:rsidRDefault="0005031A" w:rsidP="00C6247E">
      <w:pPr>
        <w:spacing w:line="240" w:lineRule="auto"/>
        <w:ind w:firstLine="0"/>
        <w:jc w:val="center"/>
        <w:rPr>
          <w:b/>
          <w:sz w:val="32"/>
          <w:szCs w:val="32"/>
          <w:u w:val="single"/>
        </w:rPr>
      </w:pPr>
      <w:bookmarkStart w:id="8" w:name="_Toc418154957"/>
      <w:bookmarkStart w:id="9" w:name="_Toc449537780"/>
      <w:r w:rsidRPr="00C6247E">
        <w:rPr>
          <w:b/>
          <w:sz w:val="36"/>
          <w:szCs w:val="36"/>
          <w:u w:val="single"/>
        </w:rPr>
        <w:t>Ханты-Мансийского автономного округа – Югры,</w:t>
      </w:r>
      <w:bookmarkEnd w:id="8"/>
      <w:bookmarkEnd w:id="9"/>
    </w:p>
    <w:p w:rsidR="0005031A" w:rsidRPr="00C6247E" w:rsidRDefault="0005031A" w:rsidP="00C6247E">
      <w:pPr>
        <w:spacing w:line="240" w:lineRule="auto"/>
        <w:ind w:firstLine="0"/>
        <w:jc w:val="center"/>
        <w:rPr>
          <w:sz w:val="32"/>
          <w:szCs w:val="32"/>
          <w:vertAlign w:val="superscript"/>
        </w:rPr>
      </w:pPr>
      <w:bookmarkStart w:id="10" w:name="_Toc418154958"/>
      <w:bookmarkStart w:id="11" w:name="_Toc449537781"/>
      <w:r w:rsidRPr="00C6247E">
        <w:rPr>
          <w:sz w:val="32"/>
          <w:szCs w:val="32"/>
          <w:vertAlign w:val="superscript"/>
        </w:rPr>
        <w:t>Наименование муниципального района</w:t>
      </w:r>
      <w:bookmarkEnd w:id="10"/>
      <w:bookmarkEnd w:id="11"/>
    </w:p>
    <w:p w:rsidR="0005031A" w:rsidRPr="00C6247E" w:rsidRDefault="0005031A" w:rsidP="00C6247E">
      <w:pPr>
        <w:ind w:firstLine="0"/>
      </w:pPr>
    </w:p>
    <w:p w:rsidR="0005031A" w:rsidRPr="00C6247E" w:rsidRDefault="0005031A" w:rsidP="00C6247E">
      <w:pPr>
        <w:ind w:firstLine="0"/>
      </w:pPr>
    </w:p>
    <w:p w:rsidR="0005031A" w:rsidRPr="00C6247E" w:rsidRDefault="0005031A" w:rsidP="00C6247E">
      <w:pPr>
        <w:ind w:firstLine="0"/>
        <w:jc w:val="center"/>
        <w:rPr>
          <w:b/>
          <w:sz w:val="32"/>
          <w:szCs w:val="32"/>
        </w:rPr>
      </w:pPr>
      <w:bookmarkStart w:id="12" w:name="_Toc418154959"/>
      <w:bookmarkStart w:id="13" w:name="_Toc449537782"/>
      <w:r w:rsidRPr="00C6247E">
        <w:rPr>
          <w:b/>
          <w:sz w:val="32"/>
          <w:szCs w:val="32"/>
        </w:rPr>
        <w:t>о достигнутых значениях показателей для оценки эффективности деятельности органов местного самоуправления муниципального образования Нижневартовский район за 20</w:t>
      </w:r>
      <w:r w:rsidR="002862C3" w:rsidRPr="00C6247E">
        <w:rPr>
          <w:b/>
          <w:sz w:val="32"/>
          <w:szCs w:val="32"/>
        </w:rPr>
        <w:t>2</w:t>
      </w:r>
      <w:r w:rsidR="004F1C00" w:rsidRPr="00C6247E">
        <w:rPr>
          <w:b/>
          <w:sz w:val="32"/>
          <w:szCs w:val="32"/>
        </w:rPr>
        <w:t>1</w:t>
      </w:r>
      <w:r w:rsidRPr="00C6247E">
        <w:rPr>
          <w:b/>
          <w:sz w:val="32"/>
          <w:szCs w:val="32"/>
        </w:rPr>
        <w:t xml:space="preserve"> год и их планируемых значениях на 3-летний период</w:t>
      </w:r>
      <w:bookmarkEnd w:id="12"/>
      <w:bookmarkEnd w:id="13"/>
    </w:p>
    <w:p w:rsidR="0005031A" w:rsidRPr="00C6247E" w:rsidRDefault="0005031A" w:rsidP="00C6247E">
      <w:pPr>
        <w:ind w:firstLine="0"/>
        <w:jc w:val="right"/>
      </w:pPr>
    </w:p>
    <w:p w:rsidR="0005031A" w:rsidRPr="00C6247E" w:rsidRDefault="0005031A" w:rsidP="00C6247E">
      <w:pPr>
        <w:ind w:firstLine="0"/>
        <w:jc w:val="right"/>
      </w:pPr>
      <w:r w:rsidRPr="00C6247E">
        <w:tab/>
      </w:r>
      <w:r w:rsidRPr="00C6247E">
        <w:tab/>
      </w:r>
      <w:r w:rsidRPr="00C6247E">
        <w:tab/>
      </w:r>
      <w:r w:rsidRPr="00C6247E">
        <w:tab/>
      </w:r>
      <w:r w:rsidRPr="00C6247E">
        <w:tab/>
      </w:r>
      <w:r w:rsidRPr="00C6247E">
        <w:tab/>
      </w:r>
      <w:r w:rsidRPr="00C6247E">
        <w:tab/>
      </w:r>
      <w:bookmarkStart w:id="14" w:name="_GoBack"/>
      <w:bookmarkEnd w:id="14"/>
      <w:r w:rsidRPr="00C6247E">
        <w:tab/>
      </w:r>
    </w:p>
    <w:p w:rsidR="0005031A" w:rsidRPr="00C6247E" w:rsidRDefault="0005031A" w:rsidP="00C6247E">
      <w:pPr>
        <w:ind w:firstLine="0"/>
        <w:jc w:val="right"/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05031A" w:rsidRPr="00C6247E" w:rsidTr="004A10BA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05031A" w:rsidRPr="00C6247E" w:rsidRDefault="0005031A" w:rsidP="00C6247E">
            <w:pPr>
              <w:ind w:firstLine="0"/>
            </w:pPr>
            <w:bookmarkStart w:id="15" w:name="_Toc418154960"/>
            <w:bookmarkStart w:id="16" w:name="_Toc449537783"/>
            <w:r w:rsidRPr="00C6247E">
              <w:t>Подпись__________________</w:t>
            </w:r>
            <w:bookmarkEnd w:id="15"/>
            <w:bookmarkEnd w:id="16"/>
          </w:p>
          <w:p w:rsidR="0005031A" w:rsidRPr="00C6247E" w:rsidRDefault="0005031A" w:rsidP="00572CF2">
            <w:pPr>
              <w:ind w:firstLine="0"/>
            </w:pPr>
            <w:bookmarkStart w:id="17" w:name="_Toc418154961"/>
            <w:bookmarkStart w:id="18" w:name="_Toc449537784"/>
            <w:r w:rsidRPr="00C6247E">
              <w:t>«</w:t>
            </w:r>
            <w:r w:rsidR="00572CF2" w:rsidRPr="00572CF2">
              <w:rPr>
                <w:u w:val="single"/>
              </w:rPr>
              <w:t>26</w:t>
            </w:r>
            <w:r w:rsidRPr="00C6247E">
              <w:t>»</w:t>
            </w:r>
            <w:r w:rsidR="00A927E3" w:rsidRPr="00C6247E">
              <w:t xml:space="preserve"> </w:t>
            </w:r>
            <w:r w:rsidRPr="00C6247E">
              <w:rPr>
                <w:u w:val="single"/>
              </w:rPr>
              <w:t>апреля</w:t>
            </w:r>
            <w:r w:rsidR="00A927E3" w:rsidRPr="00C6247E">
              <w:rPr>
                <w:u w:val="single"/>
              </w:rPr>
              <w:t xml:space="preserve"> </w:t>
            </w:r>
            <w:r w:rsidRPr="00C6247E">
              <w:t>20</w:t>
            </w:r>
            <w:r w:rsidR="00831814" w:rsidRPr="00C6247E">
              <w:t>2</w:t>
            </w:r>
            <w:r w:rsidR="004F1C00" w:rsidRPr="00C6247E">
              <w:t>2</w:t>
            </w:r>
            <w:r w:rsidRPr="00C6247E">
              <w:t xml:space="preserve"> года</w:t>
            </w:r>
            <w:bookmarkEnd w:id="17"/>
            <w:bookmarkEnd w:id="18"/>
          </w:p>
        </w:tc>
      </w:tr>
    </w:tbl>
    <w:p w:rsidR="00E7498D" w:rsidRPr="00C6247E" w:rsidRDefault="00E7498D" w:rsidP="002A03C7"/>
    <w:p w:rsidR="00E7498D" w:rsidRPr="00C6247E" w:rsidRDefault="00E7498D" w:rsidP="002A03C7">
      <w:pPr>
        <w:jc w:val="center"/>
        <w:rPr>
          <w:b/>
          <w:sz w:val="40"/>
          <w:szCs w:val="40"/>
        </w:rPr>
      </w:pPr>
      <w:bookmarkStart w:id="19" w:name="_Toc323392747"/>
      <w:bookmarkStart w:id="20" w:name="_Toc292291306"/>
    </w:p>
    <w:p w:rsidR="0005031A" w:rsidRPr="00C6247E" w:rsidRDefault="0005031A" w:rsidP="002A03C7">
      <w:pPr>
        <w:jc w:val="center"/>
        <w:rPr>
          <w:b/>
          <w:sz w:val="40"/>
          <w:szCs w:val="40"/>
        </w:rPr>
      </w:pPr>
    </w:p>
    <w:p w:rsidR="0005031A" w:rsidRPr="00C6247E" w:rsidRDefault="0005031A" w:rsidP="002A03C7">
      <w:pPr>
        <w:jc w:val="center"/>
        <w:rPr>
          <w:b/>
          <w:sz w:val="40"/>
          <w:szCs w:val="40"/>
        </w:rPr>
      </w:pPr>
    </w:p>
    <w:p w:rsidR="00E7498D" w:rsidRPr="00C6247E" w:rsidRDefault="00E7498D" w:rsidP="002A03C7">
      <w:pPr>
        <w:jc w:val="center"/>
        <w:rPr>
          <w:b/>
          <w:sz w:val="40"/>
          <w:szCs w:val="40"/>
        </w:rPr>
      </w:pPr>
    </w:p>
    <w:p w:rsidR="00BD7BE3" w:rsidRPr="00C6247E" w:rsidRDefault="00BD7BE3" w:rsidP="002A03C7">
      <w:pPr>
        <w:spacing w:after="200" w:line="276" w:lineRule="auto"/>
        <w:ind w:firstLine="0"/>
        <w:jc w:val="left"/>
        <w:outlineLvl w:val="9"/>
        <w:rPr>
          <w:b/>
        </w:rPr>
      </w:pPr>
      <w:r w:rsidRPr="00C6247E">
        <w:rPr>
          <w:b/>
        </w:rPr>
        <w:br w:type="page"/>
      </w:r>
    </w:p>
    <w:bookmarkEnd w:id="19"/>
    <w:bookmarkEnd w:id="20"/>
    <w:p w:rsidR="00556BF1" w:rsidRPr="00C6247E" w:rsidRDefault="00556BF1" w:rsidP="00556BF1">
      <w:pPr>
        <w:spacing w:line="240" w:lineRule="auto"/>
        <w:ind w:firstLine="0"/>
        <w:jc w:val="center"/>
        <w:rPr>
          <w:b/>
        </w:rPr>
      </w:pPr>
    </w:p>
    <w:p w:rsidR="00556BF1" w:rsidRPr="00C6247E" w:rsidRDefault="00556BF1" w:rsidP="00556BF1">
      <w:pPr>
        <w:spacing w:line="240" w:lineRule="auto"/>
        <w:ind w:firstLine="0"/>
        <w:jc w:val="center"/>
        <w:rPr>
          <w:b/>
        </w:rPr>
      </w:pPr>
      <w:bookmarkStart w:id="21" w:name="_Toc418154962"/>
      <w:bookmarkStart w:id="22" w:name="_Toc449537785"/>
      <w:r w:rsidRPr="00C6247E">
        <w:rPr>
          <w:b/>
        </w:rPr>
        <w:t>Содержание</w:t>
      </w:r>
      <w:bookmarkEnd w:id="21"/>
      <w:bookmarkEnd w:id="22"/>
    </w:p>
    <w:p w:rsidR="00556BF1" w:rsidRPr="00C6247E" w:rsidRDefault="00556BF1" w:rsidP="00556BF1">
      <w:pPr>
        <w:spacing w:line="240" w:lineRule="auto"/>
        <w:ind w:firstLine="0"/>
        <w:jc w:val="center"/>
        <w:rPr>
          <w:b/>
        </w:rPr>
      </w:pPr>
    </w:p>
    <w:p w:rsidR="00556BF1" w:rsidRPr="00C6247E" w:rsidRDefault="00556BF1" w:rsidP="00556BF1">
      <w:pPr>
        <w:pStyle w:val="12"/>
      </w:pPr>
    </w:p>
    <w:p w:rsidR="00556BF1" w:rsidRPr="00C6247E" w:rsidRDefault="00572CF2" w:rsidP="00556BF1">
      <w:pPr>
        <w:pStyle w:val="12"/>
      </w:pPr>
      <w:hyperlink w:anchor="_Toc449537789" w:history="1">
        <w:r w:rsidR="00556BF1" w:rsidRPr="00C6247E">
          <w:t>Раздел 1. Основные итоги социально-экономического развития</w:t>
        </w:r>
        <w:r w:rsidR="00556BF1" w:rsidRPr="00C6247E">
          <w:rPr>
            <w:webHidden/>
          </w:rPr>
          <w:tab/>
          <w:t>3</w:t>
        </w:r>
      </w:hyperlink>
    </w:p>
    <w:p w:rsidR="00556BF1" w:rsidRPr="00C6247E" w:rsidRDefault="00556BF1" w:rsidP="00556BF1">
      <w:pPr>
        <w:pStyle w:val="21"/>
      </w:pPr>
      <w:r w:rsidRPr="00C6247E">
        <w:t>1.1. Демографическая ситуация</w:t>
      </w:r>
      <w:r w:rsidRPr="00C6247E">
        <w:rPr>
          <w:webHidden/>
        </w:rPr>
        <w:tab/>
        <w:t>3</w:t>
      </w:r>
    </w:p>
    <w:p w:rsidR="00556BF1" w:rsidRPr="00C6247E" w:rsidRDefault="00556BF1" w:rsidP="00556BF1">
      <w:pPr>
        <w:pStyle w:val="21"/>
      </w:pPr>
      <w:r w:rsidRPr="00C6247E">
        <w:t>1.2. Промышленность</w:t>
      </w:r>
      <w:r w:rsidRPr="00C6247E">
        <w:rPr>
          <w:webHidden/>
        </w:rPr>
        <w:tab/>
        <w:t>3</w:t>
      </w:r>
    </w:p>
    <w:p w:rsidR="00556BF1" w:rsidRPr="00C6247E" w:rsidRDefault="00572CF2" w:rsidP="00556BF1">
      <w:pPr>
        <w:pStyle w:val="12"/>
        <w:ind w:firstLine="709"/>
      </w:pPr>
      <w:hyperlink w:anchor="_Toc449537804" w:history="1">
        <w:r w:rsidR="00556BF1" w:rsidRPr="00C6247E">
          <w:t>1.3. Инвестиции</w:t>
        </w:r>
        <w:r w:rsidR="00556BF1" w:rsidRPr="00C6247E">
          <w:rPr>
            <w:webHidden/>
          </w:rPr>
          <w:tab/>
          <w:t>4</w:t>
        </w:r>
      </w:hyperlink>
    </w:p>
    <w:p w:rsidR="00556BF1" w:rsidRPr="00C6247E" w:rsidRDefault="00556BF1" w:rsidP="00556BF1">
      <w:pPr>
        <w:pStyle w:val="21"/>
      </w:pPr>
      <w:r w:rsidRPr="00C6247E">
        <w:t>1.4. Занятость населения</w:t>
      </w:r>
      <w:r w:rsidRPr="00C6247E">
        <w:rPr>
          <w:webHidden/>
        </w:rPr>
        <w:tab/>
      </w:r>
      <w:r w:rsidR="00AF57E3" w:rsidRPr="00C6247E">
        <w:rPr>
          <w:webHidden/>
        </w:rPr>
        <w:t>5</w:t>
      </w:r>
    </w:p>
    <w:p w:rsidR="00556BF1" w:rsidRPr="00C6247E" w:rsidRDefault="00572CF2" w:rsidP="00556BF1">
      <w:pPr>
        <w:pStyle w:val="21"/>
      </w:pPr>
      <w:hyperlink w:anchor="_Toc449537835" w:history="1">
        <w:r w:rsidR="00556BF1" w:rsidRPr="00C6247E">
          <w:t>1.5. Денежные доходы и расходы населения</w:t>
        </w:r>
        <w:r w:rsidR="00556BF1" w:rsidRPr="00C6247E">
          <w:rPr>
            <w:webHidden/>
          </w:rPr>
          <w:tab/>
        </w:r>
      </w:hyperlink>
      <w:r w:rsidR="00AF57E3" w:rsidRPr="00C6247E">
        <w:t>6</w:t>
      </w:r>
    </w:p>
    <w:p w:rsidR="00556BF1" w:rsidRPr="00C6247E" w:rsidRDefault="00556BF1" w:rsidP="00556BF1">
      <w:pPr>
        <w:pStyle w:val="21"/>
      </w:pPr>
      <w:r w:rsidRPr="00C6247E">
        <w:t>1.6. Потребительский рынок</w:t>
      </w:r>
      <w:r w:rsidRPr="00C6247E">
        <w:rPr>
          <w:webHidden/>
        </w:rPr>
        <w:tab/>
      </w:r>
      <w:r w:rsidR="00AF57E3" w:rsidRPr="00C6247E">
        <w:rPr>
          <w:webHidden/>
        </w:rPr>
        <w:t>6</w:t>
      </w:r>
    </w:p>
    <w:p w:rsidR="00556BF1" w:rsidRPr="00C6247E" w:rsidRDefault="00556BF1" w:rsidP="00556BF1">
      <w:pPr>
        <w:pStyle w:val="21"/>
      </w:pPr>
      <w:r w:rsidRPr="00C6247E">
        <w:t>1.7. Криминогенная обстановка</w:t>
      </w:r>
      <w:r w:rsidRPr="00C6247E">
        <w:rPr>
          <w:webHidden/>
        </w:rPr>
        <w:tab/>
      </w:r>
      <w:r w:rsidR="00AF57E3" w:rsidRPr="00C6247E">
        <w:rPr>
          <w:webHidden/>
        </w:rPr>
        <w:t>7</w:t>
      </w:r>
    </w:p>
    <w:p w:rsidR="00556BF1" w:rsidRPr="00C6247E" w:rsidRDefault="00556BF1" w:rsidP="00556BF1">
      <w:pPr>
        <w:pStyle w:val="12"/>
        <w:ind w:firstLine="709"/>
      </w:pPr>
      <w:r w:rsidRPr="00C6247E">
        <w:t>1.8. Состояние жилищного фонда………</w:t>
      </w:r>
      <w:proofErr w:type="gramStart"/>
      <w:r w:rsidRPr="00C6247E">
        <w:t>…….</w:t>
      </w:r>
      <w:proofErr w:type="gramEnd"/>
      <w:r w:rsidRPr="00C6247E">
        <w:t>………..</w:t>
      </w:r>
      <w:r w:rsidRPr="00C6247E">
        <w:rPr>
          <w:webHidden/>
        </w:rPr>
        <w:tab/>
      </w:r>
      <w:r w:rsidR="00AF57E3" w:rsidRPr="00C6247E">
        <w:rPr>
          <w:webHidden/>
        </w:rPr>
        <w:t>9</w:t>
      </w:r>
    </w:p>
    <w:p w:rsidR="00556BF1" w:rsidRPr="00C6247E" w:rsidRDefault="00556BF1" w:rsidP="00556BF1">
      <w:pPr>
        <w:pStyle w:val="12"/>
        <w:ind w:firstLine="709"/>
      </w:pPr>
      <w:r w:rsidRPr="00C6247E">
        <w:t>1.9. Охрана прав граждан и юридических лиц.</w:t>
      </w:r>
      <w:r w:rsidRPr="00C6247E">
        <w:rPr>
          <w:webHidden/>
        </w:rPr>
        <w:tab/>
        <w:t>1</w:t>
      </w:r>
      <w:r w:rsidR="00AF57E3" w:rsidRPr="00C6247E">
        <w:rPr>
          <w:webHidden/>
        </w:rPr>
        <w:t>0</w:t>
      </w:r>
    </w:p>
    <w:p w:rsidR="00556BF1" w:rsidRPr="00C6247E" w:rsidRDefault="00556BF1" w:rsidP="00556BF1">
      <w:pPr>
        <w:tabs>
          <w:tab w:val="left" w:pos="9072"/>
        </w:tabs>
        <w:spacing w:line="240" w:lineRule="auto"/>
      </w:pPr>
      <w:r w:rsidRPr="00C6247E">
        <w:t>1.10. Состояние платежной дисциплины и инвестиционной политики в жилищно-коммунальном комплексе …………………………………………………………………….</w:t>
      </w:r>
      <w:r w:rsidRPr="00C6247E">
        <w:tab/>
        <w:t>1</w:t>
      </w:r>
      <w:r w:rsidR="00AF57E3" w:rsidRPr="00C6247E">
        <w:t>2</w:t>
      </w:r>
    </w:p>
    <w:p w:rsidR="00556BF1" w:rsidRPr="00C6247E" w:rsidRDefault="00556BF1" w:rsidP="00556BF1">
      <w:pPr>
        <w:pStyle w:val="12"/>
      </w:pPr>
    </w:p>
    <w:p w:rsidR="00556BF1" w:rsidRPr="00C6247E" w:rsidRDefault="00556BF1" w:rsidP="00556BF1">
      <w:pPr>
        <w:pStyle w:val="12"/>
      </w:pPr>
      <w:r w:rsidRPr="00C6247E">
        <w:t>Раздел 2. Показатели, характеризующие социально-экономическое развитие муниципального образования, оценку эффективности деятельности органов местного самоуправления городских округов и муниципальных районов, за отчетный год и их планируемое значение на 3-летний период</w:t>
      </w:r>
      <w:r w:rsidRPr="00C6247E">
        <w:rPr>
          <w:webHidden/>
        </w:rPr>
        <w:tab/>
      </w:r>
      <w:r w:rsidR="00AF57E3" w:rsidRPr="00C6247E">
        <w:rPr>
          <w:webHidden/>
        </w:rPr>
        <w:t>13</w:t>
      </w:r>
    </w:p>
    <w:p w:rsidR="00556BF1" w:rsidRPr="00C6247E" w:rsidRDefault="00556BF1" w:rsidP="00556BF1">
      <w:pPr>
        <w:pStyle w:val="12"/>
      </w:pPr>
    </w:p>
    <w:p w:rsidR="00556BF1" w:rsidRPr="00C6247E" w:rsidRDefault="00556BF1" w:rsidP="00556BF1">
      <w:pPr>
        <w:pStyle w:val="12"/>
      </w:pPr>
      <w:r w:rsidRPr="00C6247E"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 ………………………………………………………………………………………</w:t>
      </w:r>
      <w:proofErr w:type="gramStart"/>
      <w:r w:rsidRPr="00C6247E">
        <w:t>…….</w:t>
      </w:r>
      <w:proofErr w:type="gramEnd"/>
      <w:r w:rsidR="00C6247E" w:rsidRPr="00C6247E">
        <w:t>3</w:t>
      </w:r>
      <w:r w:rsidRPr="00C6247E">
        <w:t>7</w:t>
      </w:r>
    </w:p>
    <w:p w:rsidR="00556BF1" w:rsidRPr="00C6247E" w:rsidRDefault="00572CF2" w:rsidP="00556BF1">
      <w:pPr>
        <w:pStyle w:val="21"/>
      </w:pPr>
      <w:hyperlink w:anchor="_Toc449539436" w:history="1">
        <w:r w:rsidR="00556BF1" w:rsidRPr="00C6247E">
          <w:t>3.1.</w:t>
        </w:r>
      </w:hyperlink>
      <w:r w:rsidR="00556BF1" w:rsidRPr="00C6247E">
        <w:t xml:space="preserve"> Внедрение информационных технологий при решении задач по обеспечению доступа населения к информации о деятельности органов местного самоуправления муниципального образования</w:t>
      </w:r>
      <w:r w:rsidR="00556BF1" w:rsidRPr="00C6247E">
        <w:rPr>
          <w:webHidden/>
        </w:rPr>
        <w:tab/>
      </w:r>
      <w:r w:rsidR="00C6247E" w:rsidRPr="00C6247E">
        <w:t>3</w:t>
      </w:r>
      <w:r w:rsidR="00556BF1" w:rsidRPr="00C6247E">
        <w:t>7</w:t>
      </w:r>
    </w:p>
    <w:p w:rsidR="00556BF1" w:rsidRPr="00C6247E" w:rsidRDefault="00556BF1" w:rsidP="00556BF1">
      <w:pPr>
        <w:pStyle w:val="21"/>
      </w:pPr>
      <w:r w:rsidRPr="00C6247E">
        <w:t xml:space="preserve">3.2. Повышение информационной открытости органов местного самоуправления муниципального образования, включая информацию о качестве окружающей среды, публичная и </w:t>
      </w:r>
      <w:proofErr w:type="spellStart"/>
      <w:r w:rsidRPr="00C6247E">
        <w:t>медийная</w:t>
      </w:r>
      <w:proofErr w:type="spellEnd"/>
      <w:r w:rsidRPr="00C6247E">
        <w:t xml:space="preserve"> (публикации и выступления в СМИ) активность главы района, работа с населением</w:t>
      </w:r>
      <w:r w:rsidRPr="00C6247E">
        <w:rPr>
          <w:webHidden/>
        </w:rPr>
        <w:tab/>
      </w:r>
      <w:r w:rsidR="00C6247E" w:rsidRPr="00C6247E">
        <w:t>3</w:t>
      </w:r>
      <w:r w:rsidRPr="00C6247E">
        <w:t>8</w:t>
      </w:r>
    </w:p>
    <w:p w:rsidR="00556BF1" w:rsidRPr="00C6247E" w:rsidRDefault="00572CF2" w:rsidP="00556BF1">
      <w:pPr>
        <w:tabs>
          <w:tab w:val="left" w:pos="9072"/>
        </w:tabs>
        <w:spacing w:line="240" w:lineRule="auto"/>
      </w:pPr>
      <w:hyperlink w:anchor="_Toc449539485" w:history="1">
        <w:r w:rsidR="00556BF1" w:rsidRPr="00C6247E">
          <w:t>3.3.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населения……………………………………</w:t>
        </w:r>
        <w:proofErr w:type="gramStart"/>
        <w:r w:rsidR="00556BF1" w:rsidRPr="00C6247E">
          <w:t>…….</w:t>
        </w:r>
        <w:proofErr w:type="gramEnd"/>
        <w:r w:rsidR="00556BF1" w:rsidRPr="00C6247E">
          <w:t>.</w:t>
        </w:r>
        <w:r w:rsidR="00556BF1" w:rsidRPr="00C6247E">
          <w:rPr>
            <w:webHidden/>
          </w:rPr>
          <w:tab/>
        </w:r>
      </w:hyperlink>
      <w:r w:rsidR="00C6247E" w:rsidRPr="00C6247E">
        <w:t>4</w:t>
      </w:r>
      <w:r w:rsidR="00556BF1" w:rsidRPr="00C6247E">
        <w:t>0</w:t>
      </w:r>
    </w:p>
    <w:p w:rsidR="00556BF1" w:rsidRPr="00C6247E" w:rsidRDefault="00556BF1" w:rsidP="00556BF1">
      <w:pPr>
        <w:spacing w:line="240" w:lineRule="auto"/>
        <w:ind w:firstLine="0"/>
        <w:jc w:val="center"/>
      </w:pPr>
      <w:r w:rsidRPr="00C6247E">
        <w:br w:type="page"/>
      </w:r>
    </w:p>
    <w:p w:rsidR="00556BF1" w:rsidRPr="00C6247E" w:rsidRDefault="00556BF1" w:rsidP="00556BF1">
      <w:pPr>
        <w:pStyle w:val="1"/>
        <w:keepNext w:val="0"/>
        <w:keepLines w:val="0"/>
        <w:spacing w:line="240" w:lineRule="auto"/>
        <w:ind w:firstLine="0"/>
      </w:pPr>
      <w:bookmarkStart w:id="23" w:name="_Toc449537786"/>
      <w:bookmarkStart w:id="24" w:name="_Toc355021659"/>
      <w:r w:rsidRPr="00C6247E">
        <w:lastRenderedPageBreak/>
        <w:t>Введение</w:t>
      </w:r>
      <w:bookmarkEnd w:id="23"/>
    </w:p>
    <w:p w:rsidR="00556BF1" w:rsidRPr="00C6247E" w:rsidRDefault="00556BF1" w:rsidP="00556BF1">
      <w:pPr>
        <w:spacing w:line="240" w:lineRule="auto"/>
      </w:pPr>
      <w:bookmarkStart w:id="25" w:name="_Toc449537787"/>
      <w:bookmarkStart w:id="26" w:name="_Toc355021660"/>
      <w:bookmarkStart w:id="27" w:name="_Toc417897516"/>
      <w:bookmarkStart w:id="28" w:name="_Toc417897973"/>
      <w:bookmarkStart w:id="29" w:name="_Toc418154964"/>
      <w:bookmarkStart w:id="30" w:name="_Toc292291307"/>
      <w:bookmarkStart w:id="31" w:name="_Toc260406086"/>
      <w:bookmarkStart w:id="32" w:name="_Toc292291308"/>
      <w:bookmarkEnd w:id="24"/>
      <w:r w:rsidRPr="00C6247E">
        <w:t>Доклад главы муниципального образования Нижневартовский район за 202</w:t>
      </w:r>
      <w:r w:rsidR="001E2A31" w:rsidRPr="00C6247E">
        <w:t>1</w:t>
      </w:r>
      <w:r w:rsidRPr="00C6247E">
        <w:t xml:space="preserve"> год и плановый период подготовлен на основании распоряжения Правительства Ханты-Мансийского автономного округа-Югры от 15 марта 2013 года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округа-Югры».</w:t>
      </w:r>
      <w:bookmarkEnd w:id="25"/>
    </w:p>
    <w:p w:rsidR="00556BF1" w:rsidRPr="00C6247E" w:rsidRDefault="00556BF1" w:rsidP="00556BF1">
      <w:pPr>
        <w:spacing w:line="240" w:lineRule="auto"/>
      </w:pPr>
      <w:bookmarkStart w:id="33" w:name="_Toc449537788"/>
      <w:r w:rsidRPr="00C6247E">
        <w:t>В 202</w:t>
      </w:r>
      <w:r w:rsidR="001E2A31" w:rsidRPr="00C6247E">
        <w:t>1</w:t>
      </w:r>
      <w:r w:rsidRPr="00C6247E">
        <w:t xml:space="preserve"> году деятельность администрации района была направлена на решение задач, поставленных Президентом Российской Федерации, Губернатором Ханты-Мансийского автономного округа – Югры, Думой района и определенных основными направлениями налоговой, бюджетной и долговой политики.</w:t>
      </w:r>
      <w:bookmarkEnd w:id="33"/>
    </w:p>
    <w:p w:rsidR="00556BF1" w:rsidRPr="00C6247E" w:rsidRDefault="00556BF1" w:rsidP="00556BF1">
      <w:pPr>
        <w:spacing w:line="240" w:lineRule="auto"/>
      </w:pPr>
    </w:p>
    <w:p w:rsidR="00556BF1" w:rsidRPr="00C6247E" w:rsidRDefault="00556BF1" w:rsidP="00556BF1">
      <w:pPr>
        <w:pStyle w:val="1"/>
        <w:keepNext w:val="0"/>
        <w:keepLines w:val="0"/>
        <w:spacing w:line="240" w:lineRule="auto"/>
        <w:ind w:firstLine="0"/>
      </w:pPr>
      <w:bookmarkStart w:id="34" w:name="_Toc323392749"/>
      <w:bookmarkStart w:id="35" w:name="_Toc355021664"/>
      <w:bookmarkEnd w:id="26"/>
      <w:bookmarkEnd w:id="27"/>
      <w:bookmarkEnd w:id="28"/>
      <w:bookmarkEnd w:id="29"/>
      <w:r w:rsidRPr="00C6247E">
        <w:t>Раздел 1. Основные итоги социально-экономического развития</w:t>
      </w:r>
    </w:p>
    <w:p w:rsidR="00556BF1" w:rsidRPr="00C6247E" w:rsidRDefault="00556BF1" w:rsidP="00556BF1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</w:p>
    <w:p w:rsidR="00556BF1" w:rsidRPr="00C6247E" w:rsidRDefault="00556BF1" w:rsidP="00556BF1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r w:rsidRPr="00C6247E">
        <w:rPr>
          <w:sz w:val="24"/>
          <w:szCs w:val="24"/>
        </w:rPr>
        <w:t>1.1. Демографическая ситуация</w:t>
      </w:r>
      <w:bookmarkEnd w:id="30"/>
      <w:bookmarkEnd w:id="34"/>
      <w:bookmarkEnd w:id="35"/>
    </w:p>
    <w:p w:rsidR="00556BF1" w:rsidRPr="00C6247E" w:rsidRDefault="00556BF1" w:rsidP="00556BF1">
      <w:pPr>
        <w:spacing w:line="240" w:lineRule="auto"/>
      </w:pPr>
    </w:p>
    <w:p w:rsidR="00556BF1" w:rsidRPr="00C6247E" w:rsidRDefault="00556BF1" w:rsidP="00556BF1">
      <w:pPr>
        <w:spacing w:line="240" w:lineRule="auto"/>
      </w:pPr>
      <w:bookmarkStart w:id="36" w:name="_Toc449537791"/>
      <w:bookmarkStart w:id="37" w:name="_Toc355021667"/>
      <w:bookmarkStart w:id="38" w:name="_Toc355021672"/>
      <w:bookmarkStart w:id="39" w:name="_Toc449537796"/>
      <w:r w:rsidRPr="00C6247E">
        <w:t>На начало 202</w:t>
      </w:r>
      <w:r w:rsidR="00416348" w:rsidRPr="00C6247E">
        <w:t xml:space="preserve">2 </w:t>
      </w:r>
      <w:r w:rsidRPr="00C6247E">
        <w:t>года численность постоянного населения района составила 362</w:t>
      </w:r>
      <w:r w:rsidR="006A0894" w:rsidRPr="00C6247E">
        <w:t>9</w:t>
      </w:r>
      <w:r w:rsidR="002E3616" w:rsidRPr="00C6247E">
        <w:t>8</w:t>
      </w:r>
      <w:r w:rsidRPr="00C6247E">
        <w:t xml:space="preserve"> человек. Доля населения, проживающего в </w:t>
      </w:r>
      <w:proofErr w:type="spellStart"/>
      <w:r w:rsidRPr="00C6247E">
        <w:t>пгт.Излучинск</w:t>
      </w:r>
      <w:proofErr w:type="spellEnd"/>
      <w:r w:rsidRPr="00C6247E">
        <w:t xml:space="preserve"> и </w:t>
      </w:r>
      <w:proofErr w:type="spellStart"/>
      <w:r w:rsidRPr="00C6247E">
        <w:t>пгт.Новоаганск</w:t>
      </w:r>
      <w:proofErr w:type="spellEnd"/>
      <w:r w:rsidRPr="00C6247E">
        <w:t xml:space="preserve"> составляет 82,</w:t>
      </w:r>
      <w:r w:rsidR="007F315D" w:rsidRPr="00C6247E">
        <w:t>2</w:t>
      </w:r>
      <w:r w:rsidRPr="00C6247E">
        <w:t>%, остальные 17,</w:t>
      </w:r>
      <w:r w:rsidR="007F315D" w:rsidRPr="00C6247E">
        <w:t>8</w:t>
      </w:r>
      <w:r w:rsidRPr="00C6247E">
        <w:t xml:space="preserve">% - сельские жители. Район относится к территории компактного проживания коренного населения. На территории района более 2,5 тыс. человек или 7% от всего населения района составляют коренные малочисленные народы Севера. </w:t>
      </w:r>
      <w:bookmarkEnd w:id="36"/>
    </w:p>
    <w:p w:rsidR="00556BF1" w:rsidRPr="00C6247E" w:rsidRDefault="00556BF1" w:rsidP="00556BF1">
      <w:pPr>
        <w:spacing w:line="240" w:lineRule="auto"/>
        <w:ind w:firstLine="708"/>
      </w:pPr>
      <w:bookmarkStart w:id="40" w:name="_Toc449537792"/>
      <w:r w:rsidRPr="00C6247E">
        <w:t xml:space="preserve">В </w:t>
      </w:r>
      <w:r w:rsidR="00666754" w:rsidRPr="00C6247E">
        <w:t xml:space="preserve">2021 году в </w:t>
      </w:r>
      <w:r w:rsidRPr="00C6247E">
        <w:t>районе регистрируется естественн</w:t>
      </w:r>
      <w:r w:rsidR="00666754" w:rsidRPr="00C6247E">
        <w:t>ая</w:t>
      </w:r>
      <w:r w:rsidRPr="00C6247E">
        <w:t xml:space="preserve"> </w:t>
      </w:r>
      <w:r w:rsidR="00666754" w:rsidRPr="00C6247E">
        <w:t>убыль</w:t>
      </w:r>
      <w:r w:rsidRPr="00C6247E">
        <w:t xml:space="preserve"> населения</w:t>
      </w:r>
      <w:r w:rsidR="00666754" w:rsidRPr="00C6247E">
        <w:t xml:space="preserve"> -</w:t>
      </w:r>
      <w:r w:rsidRPr="00C6247E">
        <w:t xml:space="preserve"> </w:t>
      </w:r>
      <w:r w:rsidR="00666754" w:rsidRPr="00C6247E">
        <w:t>42</w:t>
      </w:r>
      <w:r w:rsidRPr="00C6247E">
        <w:t xml:space="preserve"> человека</w:t>
      </w:r>
      <w:r w:rsidR="00666754" w:rsidRPr="00C6247E">
        <w:t xml:space="preserve">, </w:t>
      </w:r>
      <w:r w:rsidRPr="00C6247E">
        <w:t>за отчетный период родилось 3</w:t>
      </w:r>
      <w:r w:rsidR="00666754" w:rsidRPr="00C6247E">
        <w:t>08</w:t>
      </w:r>
      <w:r w:rsidRPr="00C6247E">
        <w:t xml:space="preserve"> детей, умерло </w:t>
      </w:r>
      <w:r w:rsidR="00666754" w:rsidRPr="00C6247E">
        <w:t>350</w:t>
      </w:r>
      <w:r w:rsidRPr="00C6247E">
        <w:t xml:space="preserve"> человек.</w:t>
      </w:r>
      <w:bookmarkEnd w:id="40"/>
      <w:r w:rsidRPr="00C6247E">
        <w:t xml:space="preserve"> Миграционный прирост в 202</w:t>
      </w:r>
      <w:r w:rsidR="00666754" w:rsidRPr="00C6247E">
        <w:t>1</w:t>
      </w:r>
      <w:r w:rsidRPr="00C6247E">
        <w:t xml:space="preserve"> году имеет положительное сальдо – количество прибывших превысило количество выбывших на </w:t>
      </w:r>
      <w:r w:rsidR="004F22EF" w:rsidRPr="00C6247E">
        <w:t>119</w:t>
      </w:r>
      <w:r w:rsidRPr="00C6247E">
        <w:t xml:space="preserve"> человек. </w:t>
      </w:r>
    </w:p>
    <w:p w:rsidR="00556BF1" w:rsidRPr="00C6247E" w:rsidRDefault="00556BF1" w:rsidP="00556BF1">
      <w:pPr>
        <w:spacing w:line="240" w:lineRule="auto"/>
        <w:ind w:firstLine="708"/>
      </w:pPr>
      <w:bookmarkStart w:id="41" w:name="_Toc449537794"/>
      <w:r w:rsidRPr="00C6247E">
        <w:rPr>
          <w:bCs w:val="0"/>
        </w:rPr>
        <w:t xml:space="preserve">Основополагающим фактором, оказывающим влияние как на естественное движение, так и на миграционные процессы, выступает половозрастная структура населения. </w:t>
      </w:r>
      <w:r w:rsidRPr="00C6247E">
        <w:t>По данным Федеральной службы государственной статистики на 01.01.202</w:t>
      </w:r>
      <w:r w:rsidR="008655D9" w:rsidRPr="00C6247E">
        <w:t>1</w:t>
      </w:r>
      <w:r w:rsidRPr="00C6247E">
        <w:t xml:space="preserve"> года доля населения моложе трудоспособного возраста составила </w:t>
      </w:r>
      <w:r w:rsidR="003C6F9B" w:rsidRPr="00C6247E">
        <w:t>18,8</w:t>
      </w:r>
      <w:r w:rsidRPr="00C6247E">
        <w:t>%; трудоспособного возраста – 6</w:t>
      </w:r>
      <w:r w:rsidR="003C6F9B" w:rsidRPr="00C6247E">
        <w:t>3</w:t>
      </w:r>
      <w:r w:rsidRPr="00C6247E">
        <w:t xml:space="preserve">,2%; старше трудоспособного возраста – </w:t>
      </w:r>
      <w:r w:rsidR="003C6F9B" w:rsidRPr="00C6247E">
        <w:t>18</w:t>
      </w:r>
      <w:r w:rsidRPr="00C6247E">
        <w:t xml:space="preserve">%. </w:t>
      </w:r>
      <w:r w:rsidRPr="00C6247E">
        <w:rPr>
          <w:bCs w:val="0"/>
        </w:rPr>
        <w:t>На территории района</w:t>
      </w:r>
      <w:bookmarkStart w:id="42" w:name="_Toc355021670"/>
      <w:r w:rsidRPr="00C6247E">
        <w:t xml:space="preserve"> сохраняется тенденция незначительного превышения численности мужчин над численностью женщин, так из общего количества населения 50,9% составляют мужчины, 49,1% – женщины.</w:t>
      </w:r>
      <w:bookmarkStart w:id="43" w:name="_Toc355021669"/>
      <w:bookmarkEnd w:id="41"/>
      <w:bookmarkEnd w:id="43"/>
    </w:p>
    <w:bookmarkEnd w:id="37"/>
    <w:bookmarkEnd w:id="42"/>
    <w:p w:rsidR="00A81064" w:rsidRPr="00C6247E" w:rsidRDefault="00556BF1" w:rsidP="00D25A6A">
      <w:pPr>
        <w:spacing w:line="240" w:lineRule="auto"/>
        <w:ind w:firstLine="708"/>
        <w:rPr>
          <w:b/>
        </w:rPr>
      </w:pPr>
      <w:r w:rsidRPr="00C6247E">
        <w:t>Основная направленность демографической политики характеризуется мерами, направленными на достижение целей по повышению рождаемости, снижению смертности от предотвратимых причин, за счет улучшения условий и охраны труда, формирование мотивации к здоровому образу жизни, стимулирование к занятиям физкультурой и спортом.</w:t>
      </w:r>
      <w:r w:rsidR="00D25A6A" w:rsidRPr="00C6247E">
        <w:t xml:space="preserve"> </w:t>
      </w:r>
      <w:bookmarkEnd w:id="38"/>
      <w:bookmarkEnd w:id="39"/>
      <w:r w:rsidR="00A81064" w:rsidRPr="00C6247E">
        <w:t>В целях повышения рождаемости на федеральном уровне приняты масштабные меры финансовой поддержки семей с детьми, а также женщинам в период беременности</w:t>
      </w:r>
      <w:r w:rsidR="00D25A6A" w:rsidRPr="00C6247E">
        <w:t>.</w:t>
      </w:r>
      <w:r w:rsidR="00A81064" w:rsidRPr="00C6247E">
        <w:t xml:space="preserve"> В среднесрочной перспективе мероприятия, направленные на сокращение уровня смертности населения, прежде всего в трудоспособных возрастах, будут способствовать росту ожидаемой продолжительности жизни и снижению общей смертности населения.</w:t>
      </w:r>
    </w:p>
    <w:p w:rsidR="00A81064" w:rsidRPr="00C6247E" w:rsidRDefault="00A81064" w:rsidP="00556BF1">
      <w:pPr>
        <w:tabs>
          <w:tab w:val="left" w:pos="1695"/>
          <w:tab w:val="center" w:pos="4677"/>
        </w:tabs>
        <w:spacing w:line="240" w:lineRule="auto"/>
        <w:ind w:firstLine="0"/>
        <w:jc w:val="left"/>
        <w:rPr>
          <w:b/>
        </w:rPr>
      </w:pPr>
    </w:p>
    <w:p w:rsidR="00556BF1" w:rsidRPr="00C6247E" w:rsidRDefault="00556BF1" w:rsidP="00556BF1">
      <w:pPr>
        <w:tabs>
          <w:tab w:val="left" w:pos="1695"/>
          <w:tab w:val="center" w:pos="4677"/>
        </w:tabs>
        <w:spacing w:line="240" w:lineRule="auto"/>
        <w:ind w:firstLine="0"/>
        <w:jc w:val="left"/>
      </w:pPr>
      <w:r w:rsidRPr="00C6247E">
        <w:rPr>
          <w:b/>
        </w:rPr>
        <w:tab/>
      </w:r>
    </w:p>
    <w:p w:rsidR="00556BF1" w:rsidRPr="00C6247E" w:rsidRDefault="00556BF1" w:rsidP="00556BF1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r w:rsidRPr="00C6247E">
        <w:rPr>
          <w:sz w:val="24"/>
          <w:szCs w:val="24"/>
        </w:rPr>
        <w:t>1.2. Промышленность</w:t>
      </w:r>
    </w:p>
    <w:p w:rsidR="00556BF1" w:rsidRPr="00C6247E" w:rsidRDefault="00556BF1" w:rsidP="00556BF1"/>
    <w:p w:rsidR="00A97248" w:rsidRPr="00C6247E" w:rsidRDefault="00A97248" w:rsidP="00A97248">
      <w:pPr>
        <w:spacing w:line="240" w:lineRule="auto"/>
      </w:pPr>
      <w:bookmarkStart w:id="44" w:name="_Toc260406088"/>
      <w:bookmarkStart w:id="45" w:name="_Toc292291310"/>
      <w:bookmarkStart w:id="46" w:name="_Toc323392751"/>
      <w:bookmarkStart w:id="47" w:name="_Toc355021697"/>
      <w:bookmarkEnd w:id="31"/>
      <w:bookmarkEnd w:id="32"/>
      <w:r w:rsidRPr="00C6247E">
        <w:t xml:space="preserve">На </w:t>
      </w:r>
      <w:r w:rsidRPr="00C6247E">
        <w:rPr>
          <w:bCs w:val="0"/>
        </w:rPr>
        <w:t>территории</w:t>
      </w:r>
      <w:r w:rsidRPr="00C6247E">
        <w:t xml:space="preserve"> Нижневартовского района сформирован </w:t>
      </w:r>
      <w:r w:rsidRPr="00C6247E">
        <w:rPr>
          <w:bCs w:val="0"/>
        </w:rPr>
        <w:t>промышленный</w:t>
      </w:r>
      <w:r w:rsidRPr="00C6247E">
        <w:t xml:space="preserve"> комплекс, преимущественно представленный нефтегазодобывающей и электроэнергетической отраслями. Структура экономики района в полной мере отражает особенности географического положения и природных богатств. Доля промышленного производства в 2021 году составила 99,1% в структуре экономики.</w:t>
      </w:r>
    </w:p>
    <w:p w:rsidR="00A97248" w:rsidRPr="00C6247E" w:rsidRDefault="00A97248" w:rsidP="00A97248">
      <w:pPr>
        <w:spacing w:line="240" w:lineRule="auto"/>
      </w:pPr>
      <w:r w:rsidRPr="00C6247E">
        <w:t>За отчетный год отгружено товаров собственного производства, выполнено работ (услуг) по крупным и средним производителям на сумму 1 2</w:t>
      </w:r>
      <w:r w:rsidR="006559B6" w:rsidRPr="00C6247E">
        <w:t>5</w:t>
      </w:r>
      <w:r w:rsidRPr="00C6247E">
        <w:t>7</w:t>
      </w:r>
      <w:r w:rsidR="006559B6" w:rsidRPr="00C6247E">
        <w:t> 097,5</w:t>
      </w:r>
      <w:r w:rsidRPr="00C6247E">
        <w:t xml:space="preserve"> млн. руб.</w:t>
      </w:r>
    </w:p>
    <w:p w:rsidR="00A97248" w:rsidRPr="00C6247E" w:rsidRDefault="00A97248" w:rsidP="00A97248">
      <w:pPr>
        <w:spacing w:line="240" w:lineRule="auto"/>
        <w:ind w:firstLine="708"/>
      </w:pPr>
      <w:r w:rsidRPr="00C6247E">
        <w:lastRenderedPageBreak/>
        <w:t xml:space="preserve">Большое влияние на объемы промышленного производства оказывает нефтегазодобывающая отрасль, на долю которой приходится 97,2%. Объем промышленного производства предприятий данной отрасли составил 1 221 860,5 млн. руб. </w:t>
      </w:r>
    </w:p>
    <w:p w:rsidR="00A97248" w:rsidRPr="00C6247E" w:rsidRDefault="00A97248" w:rsidP="00A97248">
      <w:pPr>
        <w:spacing w:line="240" w:lineRule="auto"/>
      </w:pPr>
      <w:r w:rsidRPr="00C6247E">
        <w:t>Объем добытой нефти за 2021 год на территории района составил 37,9 млн. тонн, газа -</w:t>
      </w:r>
      <w:r w:rsidR="00216794" w:rsidRPr="00C6247E">
        <w:t>12,8</w:t>
      </w:r>
      <w:r w:rsidRPr="00C6247E">
        <w:t xml:space="preserve"> млрд. куб. метров.</w:t>
      </w:r>
    </w:p>
    <w:p w:rsidR="00A97248" w:rsidRPr="00C6247E" w:rsidRDefault="00A97248" w:rsidP="00A97248">
      <w:pPr>
        <w:spacing w:line="240" w:lineRule="auto"/>
      </w:pPr>
      <w:r w:rsidRPr="00C6247E">
        <w:t xml:space="preserve">Добычу нефти на территории района обеспечивают структурные единицы 7 крупных вертикально-интегрированных компаний России и 6 независимых </w:t>
      </w:r>
      <w:proofErr w:type="spellStart"/>
      <w:r w:rsidRPr="00C6247E">
        <w:t>недропользователей</w:t>
      </w:r>
      <w:proofErr w:type="spellEnd"/>
      <w:r w:rsidRPr="00C6247E">
        <w:t>. Наибольшее значение по объемам добычи имеют хозяйствующие субъекты нефтяной компании Роснефть (44% от общего объема добычи нефти на территории района). В общем объеме доля добычи, приходящаяся на предприятия Независимой Нефтяной компании - 14,7%, «ЛУКОЙЛ» - 15,4%, на структурные единицы Нефтяных компаний «</w:t>
      </w:r>
      <w:proofErr w:type="spellStart"/>
      <w:r w:rsidRPr="00C6247E">
        <w:t>РуссНефть</w:t>
      </w:r>
      <w:proofErr w:type="spellEnd"/>
      <w:r w:rsidRPr="00C6247E">
        <w:t>» и подразделения публичного акционерного общества Нефтяная компания «</w:t>
      </w:r>
      <w:proofErr w:type="spellStart"/>
      <w:r w:rsidRPr="00C6247E">
        <w:t>Славнефть</w:t>
      </w:r>
      <w:proofErr w:type="spellEnd"/>
      <w:r w:rsidRPr="00C6247E">
        <w:t xml:space="preserve">» приходится 6,4% и 10,7% соответственно. </w:t>
      </w:r>
    </w:p>
    <w:p w:rsidR="00A97248" w:rsidRPr="00C6247E" w:rsidRDefault="00A97248" w:rsidP="00A97248">
      <w:pPr>
        <w:spacing w:line="240" w:lineRule="auto"/>
      </w:pPr>
      <w:r w:rsidRPr="00C6247E">
        <w:t xml:space="preserve">На долю предприятий по обеспечению электрической энергией, газом и паром, кондиционирование воздуха, а также водоснабжение, водоотведение, организация сбора и утилизации отходов, а также деятельность по ликвидации отходов в объеме промышленного производства приходится 1,8%, или 22 994 млн. руб. Основным производителем электроэнергии в районе является электростанция общего пользования - </w:t>
      </w:r>
      <w:proofErr w:type="spellStart"/>
      <w:r w:rsidRPr="00C6247E">
        <w:t>Нижневартовская</w:t>
      </w:r>
      <w:proofErr w:type="spellEnd"/>
      <w:r w:rsidRPr="00C6247E">
        <w:t xml:space="preserve"> ГРЭС, доля которой в общем производстве – 93,0%. На месторождениях района, для выработки электроэнергии нефтегазодобывающие предприятия применяют автономные электростанции, это порядка 7% от общего объема производства электроэнергии. За 2021 год на террит</w:t>
      </w:r>
      <w:r w:rsidR="00216794" w:rsidRPr="00C6247E">
        <w:t>ории района произведено 13,2 млрд</w:t>
      </w:r>
      <w:r w:rsidRPr="00C6247E">
        <w:t>. кВт/час электроэнергии.</w:t>
      </w:r>
    </w:p>
    <w:p w:rsidR="00A97248" w:rsidRPr="00C6247E" w:rsidRDefault="00A97248" w:rsidP="00A97248">
      <w:pPr>
        <w:spacing w:line="240" w:lineRule="auto"/>
      </w:pPr>
      <w:r w:rsidRPr="00C6247E">
        <w:t xml:space="preserve">Обрабатывающая промышленность района представлена: пищевой промышленностью, издательской и полиграфической промышленностью, производством нефтепродуктов, ремонтом машин и оборудования. Объем отгруженных товаров, работ и услуг составил 11997,9 млн. руб., доля в структуре промышленности –1%. </w:t>
      </w:r>
    </w:p>
    <w:p w:rsidR="00A97248" w:rsidRPr="00C6247E" w:rsidRDefault="00A97248" w:rsidP="00A97248">
      <w:pPr>
        <w:spacing w:line="240" w:lineRule="auto"/>
        <w:jc w:val="center"/>
        <w:rPr>
          <w:b/>
        </w:rPr>
      </w:pPr>
    </w:p>
    <w:p w:rsidR="00A97248" w:rsidRPr="00C6247E" w:rsidRDefault="00A97248" w:rsidP="00A97248">
      <w:pPr>
        <w:pStyle w:val="ab"/>
        <w:ind w:left="0" w:firstLine="0"/>
        <w:jc w:val="center"/>
        <w:rPr>
          <w:b/>
          <w:sz w:val="24"/>
          <w:szCs w:val="24"/>
        </w:rPr>
      </w:pPr>
      <w:r w:rsidRPr="00C6247E">
        <w:rPr>
          <w:b/>
          <w:sz w:val="24"/>
          <w:szCs w:val="24"/>
        </w:rPr>
        <w:t>1.3. Инвестиции</w:t>
      </w:r>
    </w:p>
    <w:p w:rsidR="00A97248" w:rsidRPr="00C6247E" w:rsidRDefault="00A97248" w:rsidP="00A97248">
      <w:pPr>
        <w:spacing w:line="240" w:lineRule="auto"/>
      </w:pPr>
    </w:p>
    <w:p w:rsidR="00147686" w:rsidRPr="00C6247E" w:rsidRDefault="00147686" w:rsidP="00147686">
      <w:pPr>
        <w:spacing w:line="240" w:lineRule="auto"/>
      </w:pPr>
      <w:r w:rsidRPr="00C6247E">
        <w:t>Одним из важнейших направлений социально-экономического развития района, является улучшение инвестиционной привлекательности района. В современных условиях инвесторы самостоятельно определяют объемы, направления и эффективность своих капитальных вложений.</w:t>
      </w:r>
    </w:p>
    <w:p w:rsidR="00147686" w:rsidRPr="00C6247E" w:rsidRDefault="00147686" w:rsidP="00147686">
      <w:pPr>
        <w:spacing w:line="240" w:lineRule="auto"/>
      </w:pPr>
      <w:r w:rsidRPr="00C6247E">
        <w:t>За 2021 год объем инвестиций в основной капитал составил 149,7 млрд. руб., что выше уровня 2020 года на 10,2%. Рост показателя связан с увеличением объема капитальных вложений по видам деятельности «Добыча полезных ископаемых», «Обрабатывающие производства».</w:t>
      </w:r>
    </w:p>
    <w:p w:rsidR="00147686" w:rsidRPr="00C6247E" w:rsidRDefault="00147686" w:rsidP="00147686">
      <w:pPr>
        <w:spacing w:line="240" w:lineRule="auto"/>
      </w:pPr>
      <w:r w:rsidRPr="00C6247E">
        <w:t xml:space="preserve">В рамках социального партнерства в 2021 году завершилось строительство крытого хоккейного корта в </w:t>
      </w:r>
      <w:proofErr w:type="spellStart"/>
      <w:r w:rsidRPr="00C6247E">
        <w:t>пгт</w:t>
      </w:r>
      <w:proofErr w:type="spellEnd"/>
      <w:r w:rsidRPr="00C6247E">
        <w:t xml:space="preserve">. Новоаганск, продолжается строительство культурно-образовательного комплекса в </w:t>
      </w:r>
      <w:proofErr w:type="spellStart"/>
      <w:r w:rsidRPr="00C6247E">
        <w:t>Ларьяке</w:t>
      </w:r>
      <w:proofErr w:type="spellEnd"/>
      <w:r w:rsidRPr="00C6247E">
        <w:t xml:space="preserve">, выполнено комплексное благоустройство территорий дошкольных образовательных учреждений Нижневартовского района. Ведутся проектно-изыскательские работы по реконструкции автовокзала в поселке </w:t>
      </w:r>
      <w:proofErr w:type="spellStart"/>
      <w:r w:rsidRPr="00C6247E">
        <w:t>Излучинске</w:t>
      </w:r>
      <w:proofErr w:type="spellEnd"/>
      <w:r w:rsidRPr="00C6247E">
        <w:t xml:space="preserve">. </w:t>
      </w:r>
    </w:p>
    <w:p w:rsidR="00147686" w:rsidRPr="00C6247E" w:rsidRDefault="00147686" w:rsidP="00147686">
      <w:pPr>
        <w:spacing w:line="240" w:lineRule="auto"/>
      </w:pPr>
      <w:r w:rsidRPr="00C6247E">
        <w:t xml:space="preserve">Для создания благоприятного инвестиционного климата в Нижневартовском районе сформирован перечень из 82 инвестиционных и приоритетных социально значимых проектов, общей инвестиционной емкостью – 4,1 млрд. рублей, которые в настоящее время реализуются и планируются к реализации. Наибольшая доля проектов – 23% в сфере сельского хозяйства, 22% в строительстве жилья, 20% - в строительстве объектов социально-бытового назначения, 15% - в обрабатывающей промышленности, 12% в сфере жилищно-коммунального хозяйства, 9% - в сфере перерабатывающего производства. Каждый проект имеет социальный, экономический и бюджетный эффект связанный с созданием дополнительных рабочих мест, увеличением поступлений в бюджет района. За </w:t>
      </w:r>
      <w:r w:rsidRPr="00C6247E">
        <w:lastRenderedPageBreak/>
        <w:t>счет средств инвесторов продолжается развитие: сельского хозяйства, жилищного строительства, обрабатывающей промышленности.</w:t>
      </w:r>
    </w:p>
    <w:p w:rsidR="006A2528" w:rsidRPr="00C6247E" w:rsidRDefault="006A2528" w:rsidP="006A2528">
      <w:pPr>
        <w:spacing w:line="240" w:lineRule="auto"/>
      </w:pPr>
      <w:r w:rsidRPr="00C6247E">
        <w:t xml:space="preserve">В 2021 году на территории района реализованы проекты: по строительству семейной животноводческой фермы на базе КФХ </w:t>
      </w:r>
      <w:proofErr w:type="spellStart"/>
      <w:r w:rsidRPr="00C6247E">
        <w:t>Сабаев</w:t>
      </w:r>
      <w:proofErr w:type="spellEnd"/>
      <w:r w:rsidRPr="00C6247E">
        <w:t xml:space="preserve"> Н.И. в </w:t>
      </w:r>
      <w:proofErr w:type="spellStart"/>
      <w:r w:rsidRPr="00C6247E">
        <w:t>Большетархово</w:t>
      </w:r>
      <w:proofErr w:type="spellEnd"/>
      <w:r w:rsidRPr="00C6247E">
        <w:t>, инвестиционной емкостью 50 млн. рублей; введены в эксплуатацию 6 жилых многоквартирных домов, построенных за счет средств инвесторов на общую сумму 130 млн. руб.</w:t>
      </w:r>
    </w:p>
    <w:p w:rsidR="00147686" w:rsidRPr="00C6247E" w:rsidRDefault="00147686" w:rsidP="00147686">
      <w:pPr>
        <w:spacing w:line="240" w:lineRule="auto"/>
      </w:pPr>
      <w:r w:rsidRPr="00C6247E">
        <w:t xml:space="preserve">Продолжается реализация проекта «Строительство семейной животноводческой фермы» ИП Глава КФХ Пичугина Татьяна Анатольевна, проект включает в себя строительство коровника на 70 голов с привязным содержанием, приобретение и установка мини-цеха по переработке молока, приобретение племенного </w:t>
      </w:r>
      <w:proofErr w:type="gramStart"/>
      <w:r w:rsidRPr="00C6247E">
        <w:t>крупно-рогатого</w:t>
      </w:r>
      <w:proofErr w:type="gramEnd"/>
      <w:r w:rsidRPr="00C6247E">
        <w:t xml:space="preserve"> скота. </w:t>
      </w:r>
      <w:r w:rsidR="006A2528" w:rsidRPr="00C6247E">
        <w:t>З</w:t>
      </w:r>
      <w:r w:rsidRPr="00C6247E">
        <w:t>авершено</w:t>
      </w:r>
      <w:r w:rsidR="006A2528" w:rsidRPr="00C6247E">
        <w:t xml:space="preserve"> строительство здания коровника, п</w:t>
      </w:r>
      <w:r w:rsidRPr="00C6247E">
        <w:t xml:space="preserve">риобретен мини-цех по переработке молока. Инвестиционная емкость проекта 27,6 млн. руб. </w:t>
      </w:r>
    </w:p>
    <w:p w:rsidR="006A2528" w:rsidRPr="00C6247E" w:rsidRDefault="00147686" w:rsidP="00147686">
      <w:pPr>
        <w:spacing w:line="240" w:lineRule="auto"/>
      </w:pPr>
      <w:r w:rsidRPr="00C6247E">
        <w:t>КФХ «</w:t>
      </w:r>
      <w:proofErr w:type="spellStart"/>
      <w:r w:rsidRPr="00C6247E">
        <w:t>Мардер</w:t>
      </w:r>
      <w:proofErr w:type="spellEnd"/>
      <w:r w:rsidRPr="00C6247E">
        <w:t xml:space="preserve">» запущен проект «Строительство роботизированной животноводческой фермы в </w:t>
      </w:r>
      <w:proofErr w:type="spellStart"/>
      <w:r w:rsidRPr="00C6247E">
        <w:t>пгт</w:t>
      </w:r>
      <w:proofErr w:type="spellEnd"/>
      <w:r w:rsidRPr="00C6247E">
        <w:t xml:space="preserve">. </w:t>
      </w:r>
      <w:proofErr w:type="spellStart"/>
      <w:r w:rsidRPr="00C6247E">
        <w:t>Излучинске</w:t>
      </w:r>
      <w:proofErr w:type="spellEnd"/>
      <w:r w:rsidRPr="00C6247E">
        <w:t xml:space="preserve">» общей инвестиционной емкостью 120,0 млн. рублей, со сроком реализации 2020–2022 годы. </w:t>
      </w:r>
    </w:p>
    <w:p w:rsidR="006A2528" w:rsidRPr="00C6247E" w:rsidRDefault="006A2528" w:rsidP="00147686">
      <w:pPr>
        <w:spacing w:line="240" w:lineRule="auto"/>
      </w:pPr>
      <w:r w:rsidRPr="00C6247E">
        <w:t>В</w:t>
      </w:r>
      <w:r w:rsidR="00147686" w:rsidRPr="00C6247E">
        <w:t xml:space="preserve"> Нижневартовском районе создан сельскохозяйственный потребительский перерабатывающий кооператив «Нижневартовский РАЙКОП», на базе кооператива</w:t>
      </w:r>
      <w:r w:rsidR="00147686" w:rsidRPr="00C6247E">
        <w:rPr>
          <w:bCs w:val="0"/>
          <w:kern w:val="0"/>
          <w:sz w:val="28"/>
          <w:szCs w:val="28"/>
          <w:lang w:eastAsia="en-US"/>
        </w:rPr>
        <w:t xml:space="preserve"> </w:t>
      </w:r>
      <w:r w:rsidR="00147686" w:rsidRPr="00C6247E">
        <w:t>планируется запустить 5 цехов (цех по переработке и консервированию рыбы, молочный цех, цех по переработке дикоросов, мясной цех и универсальный убойный цех</w:t>
      </w:r>
      <w:proofErr w:type="gramStart"/>
      <w:r w:rsidR="00147686" w:rsidRPr="00C6247E">
        <w:t>)</w:t>
      </w:r>
      <w:r w:rsidRPr="00C6247E">
        <w:t xml:space="preserve">, </w:t>
      </w:r>
      <w:r w:rsidR="00147686" w:rsidRPr="00C6247E">
        <w:t xml:space="preserve"> с</w:t>
      </w:r>
      <w:proofErr w:type="gramEnd"/>
      <w:r w:rsidR="00147686" w:rsidRPr="00C6247E">
        <w:t xml:space="preserve"> 2022 года начнётся переработка мяса, молока, рыбы и дикоросов со всего Нижневартовского района.</w:t>
      </w:r>
    </w:p>
    <w:p w:rsidR="00147686" w:rsidRPr="00C6247E" w:rsidRDefault="00147686" w:rsidP="00147686">
      <w:pPr>
        <w:spacing w:line="240" w:lineRule="auto"/>
      </w:pPr>
      <w:r w:rsidRPr="00C6247E">
        <w:t>Компании района успешно продвигают бренд Югры на российском и международном рынках. ООО «</w:t>
      </w:r>
      <w:proofErr w:type="spellStart"/>
      <w:r w:rsidRPr="00C6247E">
        <w:t>Берегиня</w:t>
      </w:r>
      <w:proofErr w:type="spellEnd"/>
      <w:r w:rsidRPr="00C6247E">
        <w:t>» стала резидентом технопарка с международными поставками косметического бренда «</w:t>
      </w:r>
      <w:proofErr w:type="spellStart"/>
      <w:r w:rsidRPr="00C6247E">
        <w:t>Тайганика</w:t>
      </w:r>
      <w:proofErr w:type="spellEnd"/>
      <w:r w:rsidRPr="00C6247E">
        <w:t>». В 2021 году запущен проект по расширению производственных площадей, приобретено новое оборудование, проведена сертификация новой продукции, получены разрешительные документы на производство 150 наименований продукции, запущен интернет-магазин «</w:t>
      </w:r>
      <w:proofErr w:type="spellStart"/>
      <w:r w:rsidRPr="00C6247E">
        <w:t>Тайганика.рф</w:t>
      </w:r>
      <w:proofErr w:type="spellEnd"/>
      <w:r w:rsidRPr="00C6247E">
        <w:t>».</w:t>
      </w:r>
    </w:p>
    <w:p w:rsidR="00147686" w:rsidRPr="00C6247E" w:rsidRDefault="00147686" w:rsidP="00147686">
      <w:pPr>
        <w:pStyle w:val="2"/>
        <w:keepNext w:val="0"/>
        <w:keepLines w:val="0"/>
        <w:spacing w:before="0"/>
        <w:rPr>
          <w:sz w:val="24"/>
          <w:szCs w:val="24"/>
        </w:rPr>
      </w:pPr>
    </w:p>
    <w:p w:rsidR="00147686" w:rsidRPr="00C6247E" w:rsidRDefault="00147686" w:rsidP="00147686"/>
    <w:p w:rsidR="00556BF1" w:rsidRPr="00C6247E" w:rsidRDefault="00556BF1" w:rsidP="00556BF1">
      <w:pPr>
        <w:pStyle w:val="2"/>
        <w:keepNext w:val="0"/>
        <w:keepLines w:val="0"/>
        <w:spacing w:before="0"/>
        <w:rPr>
          <w:sz w:val="24"/>
          <w:szCs w:val="24"/>
        </w:rPr>
      </w:pPr>
      <w:r w:rsidRPr="00C6247E">
        <w:rPr>
          <w:sz w:val="24"/>
          <w:szCs w:val="24"/>
        </w:rPr>
        <w:t>1.4. Занятость населения</w:t>
      </w:r>
      <w:bookmarkStart w:id="48" w:name="_Toc449537831"/>
      <w:bookmarkEnd w:id="44"/>
      <w:bookmarkEnd w:id="45"/>
      <w:bookmarkEnd w:id="46"/>
      <w:bookmarkEnd w:id="47"/>
    </w:p>
    <w:p w:rsidR="00556BF1" w:rsidRPr="00C6247E" w:rsidRDefault="00556BF1" w:rsidP="00556BF1"/>
    <w:p w:rsidR="00556BF1" w:rsidRPr="00C6247E" w:rsidRDefault="00556BF1" w:rsidP="00556BF1">
      <w:pPr>
        <w:pStyle w:val="2"/>
        <w:keepNext w:val="0"/>
        <w:keepLines w:val="0"/>
        <w:spacing w:before="0"/>
        <w:jc w:val="both"/>
        <w:rPr>
          <w:rFonts w:eastAsia="Times New Roman"/>
          <w:b w:val="0"/>
          <w:sz w:val="24"/>
          <w:szCs w:val="24"/>
        </w:rPr>
      </w:pPr>
      <w:r w:rsidRPr="00C6247E">
        <w:rPr>
          <w:rFonts w:eastAsia="Times New Roman"/>
          <w:b w:val="0"/>
          <w:sz w:val="24"/>
          <w:szCs w:val="24"/>
        </w:rPr>
        <w:t>На начало 202</w:t>
      </w:r>
      <w:r w:rsidR="008F7BEC" w:rsidRPr="00C6247E">
        <w:rPr>
          <w:rFonts w:eastAsia="Times New Roman"/>
          <w:b w:val="0"/>
          <w:sz w:val="24"/>
          <w:szCs w:val="24"/>
        </w:rPr>
        <w:t>2</w:t>
      </w:r>
      <w:r w:rsidRPr="00C6247E">
        <w:rPr>
          <w:rFonts w:eastAsia="Times New Roman"/>
          <w:b w:val="0"/>
          <w:sz w:val="24"/>
          <w:szCs w:val="24"/>
        </w:rPr>
        <w:t xml:space="preserve"> года численность занятых в экономике района составила 46,</w:t>
      </w:r>
      <w:r w:rsidR="008F7BEC" w:rsidRPr="00C6247E">
        <w:rPr>
          <w:rFonts w:eastAsia="Times New Roman"/>
          <w:b w:val="0"/>
          <w:sz w:val="24"/>
          <w:szCs w:val="24"/>
        </w:rPr>
        <w:t>127</w:t>
      </w:r>
      <w:r w:rsidRPr="00C6247E">
        <w:rPr>
          <w:rFonts w:eastAsia="Times New Roman"/>
          <w:b w:val="0"/>
          <w:sz w:val="24"/>
          <w:szCs w:val="24"/>
        </w:rPr>
        <w:t xml:space="preserve"> тыс. человек. </w:t>
      </w:r>
      <w:bookmarkEnd w:id="48"/>
      <w:r w:rsidRPr="00C6247E">
        <w:rPr>
          <w:rFonts w:eastAsia="Times New Roman"/>
          <w:b w:val="0"/>
          <w:sz w:val="24"/>
          <w:szCs w:val="24"/>
        </w:rPr>
        <w:t>Структура занятости населения по крупным и средним предприятиям в районе по основным видам экономической деятельности в 202</w:t>
      </w:r>
      <w:r w:rsidR="00916047" w:rsidRPr="00C6247E">
        <w:rPr>
          <w:rFonts w:eastAsia="Times New Roman"/>
          <w:b w:val="0"/>
          <w:sz w:val="24"/>
          <w:szCs w:val="24"/>
        </w:rPr>
        <w:t>1</w:t>
      </w:r>
      <w:r w:rsidRPr="00C6247E">
        <w:rPr>
          <w:rFonts w:eastAsia="Times New Roman"/>
          <w:b w:val="0"/>
          <w:sz w:val="24"/>
          <w:szCs w:val="24"/>
        </w:rPr>
        <w:t xml:space="preserve"> году:</w:t>
      </w:r>
    </w:p>
    <w:p w:rsidR="00556BF1" w:rsidRPr="00C6247E" w:rsidRDefault="00556BF1" w:rsidP="00556BF1">
      <w:pPr>
        <w:pStyle w:val="2"/>
        <w:keepNext w:val="0"/>
        <w:keepLines w:val="0"/>
        <w:spacing w:before="0"/>
        <w:jc w:val="left"/>
        <w:rPr>
          <w:rFonts w:eastAsia="Times New Roman"/>
          <w:b w:val="0"/>
          <w:sz w:val="24"/>
          <w:szCs w:val="24"/>
        </w:rPr>
      </w:pPr>
      <w:r w:rsidRPr="00C6247E">
        <w:rPr>
          <w:rFonts w:eastAsia="Times New Roman"/>
          <w:b w:val="0"/>
          <w:sz w:val="24"/>
          <w:szCs w:val="24"/>
        </w:rPr>
        <w:t xml:space="preserve">добыча полезных ископаемых – </w:t>
      </w:r>
      <w:r w:rsidR="00303AE7" w:rsidRPr="00C6247E">
        <w:rPr>
          <w:rFonts w:eastAsia="Times New Roman"/>
          <w:b w:val="0"/>
          <w:sz w:val="24"/>
          <w:szCs w:val="24"/>
        </w:rPr>
        <w:t>72,6</w:t>
      </w:r>
      <w:r w:rsidRPr="00C6247E">
        <w:rPr>
          <w:rFonts w:eastAsia="Times New Roman"/>
          <w:b w:val="0"/>
          <w:sz w:val="24"/>
          <w:szCs w:val="24"/>
        </w:rPr>
        <w:t xml:space="preserve">%;   </w:t>
      </w:r>
    </w:p>
    <w:p w:rsidR="00556BF1" w:rsidRPr="00C6247E" w:rsidRDefault="00556BF1" w:rsidP="00556BF1">
      <w:pPr>
        <w:pStyle w:val="2"/>
        <w:keepNext w:val="0"/>
        <w:keepLines w:val="0"/>
        <w:spacing w:before="0"/>
        <w:jc w:val="left"/>
        <w:rPr>
          <w:rFonts w:eastAsia="Times New Roman"/>
          <w:b w:val="0"/>
          <w:sz w:val="24"/>
          <w:szCs w:val="24"/>
        </w:rPr>
      </w:pPr>
      <w:r w:rsidRPr="00C6247E">
        <w:rPr>
          <w:rFonts w:eastAsia="Times New Roman"/>
          <w:b w:val="0"/>
          <w:sz w:val="24"/>
          <w:szCs w:val="24"/>
        </w:rPr>
        <w:t>обрабатывающие производства – 3,7%;</w:t>
      </w:r>
    </w:p>
    <w:p w:rsidR="00556BF1" w:rsidRPr="00C6247E" w:rsidRDefault="00556BF1" w:rsidP="00556BF1">
      <w:pPr>
        <w:pStyle w:val="2"/>
        <w:keepNext w:val="0"/>
        <w:keepLines w:val="0"/>
        <w:spacing w:before="0"/>
        <w:jc w:val="left"/>
        <w:rPr>
          <w:rFonts w:eastAsia="Times New Roman"/>
          <w:b w:val="0"/>
          <w:sz w:val="24"/>
          <w:szCs w:val="24"/>
        </w:rPr>
      </w:pPr>
      <w:r w:rsidRPr="00C6247E">
        <w:rPr>
          <w:rFonts w:eastAsia="Times New Roman"/>
          <w:b w:val="0"/>
          <w:sz w:val="24"/>
          <w:szCs w:val="24"/>
        </w:rPr>
        <w:t xml:space="preserve">обеспечение электрической энергией, газом и паром, кондиционирование воздуха – </w:t>
      </w:r>
      <w:r w:rsidR="00303AE7" w:rsidRPr="00C6247E">
        <w:rPr>
          <w:rFonts w:eastAsia="Times New Roman"/>
          <w:b w:val="0"/>
          <w:sz w:val="24"/>
          <w:szCs w:val="24"/>
        </w:rPr>
        <w:t>4,0</w:t>
      </w:r>
      <w:r w:rsidRPr="00C6247E">
        <w:rPr>
          <w:rFonts w:eastAsia="Times New Roman"/>
          <w:b w:val="0"/>
          <w:sz w:val="24"/>
          <w:szCs w:val="24"/>
        </w:rPr>
        <w:t>%;</w:t>
      </w:r>
    </w:p>
    <w:p w:rsidR="00556BF1" w:rsidRPr="00C6247E" w:rsidRDefault="00556BF1" w:rsidP="00556BF1">
      <w:pPr>
        <w:pStyle w:val="2"/>
        <w:keepNext w:val="0"/>
        <w:keepLines w:val="0"/>
        <w:spacing w:before="0"/>
        <w:jc w:val="both"/>
        <w:rPr>
          <w:rFonts w:eastAsia="Times New Roman"/>
          <w:b w:val="0"/>
          <w:sz w:val="24"/>
          <w:szCs w:val="24"/>
        </w:rPr>
      </w:pPr>
      <w:r w:rsidRPr="00C6247E">
        <w:rPr>
          <w:rFonts w:eastAsia="Times New Roman"/>
          <w:b w:val="0"/>
          <w:sz w:val="24"/>
          <w:szCs w:val="24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 w:rsidR="00303AE7" w:rsidRPr="00C6247E">
        <w:rPr>
          <w:rFonts w:eastAsia="Times New Roman"/>
          <w:b w:val="0"/>
          <w:sz w:val="24"/>
          <w:szCs w:val="24"/>
        </w:rPr>
        <w:t>0,8</w:t>
      </w:r>
      <w:r w:rsidRPr="00C6247E">
        <w:rPr>
          <w:rFonts w:eastAsia="Times New Roman"/>
          <w:b w:val="0"/>
          <w:sz w:val="24"/>
          <w:szCs w:val="24"/>
        </w:rPr>
        <w:t xml:space="preserve"> %;</w:t>
      </w:r>
    </w:p>
    <w:p w:rsidR="00556BF1" w:rsidRPr="00C6247E" w:rsidRDefault="00556BF1" w:rsidP="00556BF1">
      <w:pPr>
        <w:pStyle w:val="2"/>
        <w:keepNext w:val="0"/>
        <w:keepLines w:val="0"/>
        <w:spacing w:before="0"/>
        <w:jc w:val="both"/>
        <w:rPr>
          <w:rFonts w:eastAsia="Times New Roman"/>
          <w:b w:val="0"/>
          <w:sz w:val="24"/>
          <w:szCs w:val="24"/>
        </w:rPr>
      </w:pPr>
      <w:r w:rsidRPr="00C6247E">
        <w:rPr>
          <w:rFonts w:eastAsia="Times New Roman"/>
          <w:b w:val="0"/>
          <w:sz w:val="24"/>
          <w:szCs w:val="24"/>
        </w:rPr>
        <w:t>транспортировка и хранение – 2,</w:t>
      </w:r>
      <w:r w:rsidR="00303AE7" w:rsidRPr="00C6247E">
        <w:rPr>
          <w:rFonts w:eastAsia="Times New Roman"/>
          <w:b w:val="0"/>
          <w:sz w:val="24"/>
          <w:szCs w:val="24"/>
        </w:rPr>
        <w:t>8</w:t>
      </w:r>
      <w:r w:rsidRPr="00C6247E">
        <w:rPr>
          <w:rFonts w:eastAsia="Times New Roman"/>
          <w:b w:val="0"/>
          <w:sz w:val="24"/>
          <w:szCs w:val="24"/>
        </w:rPr>
        <w:t>%;</w:t>
      </w:r>
    </w:p>
    <w:p w:rsidR="00556BF1" w:rsidRPr="00C6247E" w:rsidRDefault="00556BF1" w:rsidP="00556BF1">
      <w:pPr>
        <w:pStyle w:val="2"/>
        <w:keepNext w:val="0"/>
        <w:keepLines w:val="0"/>
        <w:spacing w:before="0"/>
        <w:jc w:val="both"/>
        <w:rPr>
          <w:rFonts w:eastAsia="Times New Roman"/>
          <w:b w:val="0"/>
          <w:sz w:val="24"/>
          <w:szCs w:val="24"/>
        </w:rPr>
      </w:pPr>
      <w:r w:rsidRPr="00C6247E">
        <w:rPr>
          <w:rFonts w:eastAsia="Times New Roman"/>
          <w:b w:val="0"/>
          <w:sz w:val="24"/>
          <w:szCs w:val="24"/>
        </w:rPr>
        <w:t>деятельность профессиональная, научная и техническая – 1,</w:t>
      </w:r>
      <w:r w:rsidR="00696760" w:rsidRPr="00C6247E">
        <w:rPr>
          <w:rFonts w:eastAsia="Times New Roman"/>
          <w:b w:val="0"/>
          <w:sz w:val="24"/>
          <w:szCs w:val="24"/>
        </w:rPr>
        <w:t>2</w:t>
      </w:r>
      <w:r w:rsidRPr="00C6247E">
        <w:rPr>
          <w:rFonts w:eastAsia="Times New Roman"/>
          <w:b w:val="0"/>
          <w:sz w:val="24"/>
          <w:szCs w:val="24"/>
        </w:rPr>
        <w:t xml:space="preserve"> %;</w:t>
      </w:r>
    </w:p>
    <w:p w:rsidR="00556BF1" w:rsidRPr="00C6247E" w:rsidRDefault="00556BF1" w:rsidP="00556BF1">
      <w:pPr>
        <w:pStyle w:val="2"/>
        <w:keepNext w:val="0"/>
        <w:keepLines w:val="0"/>
        <w:spacing w:before="0"/>
        <w:jc w:val="both"/>
        <w:rPr>
          <w:rFonts w:eastAsia="Times New Roman"/>
          <w:b w:val="0"/>
          <w:sz w:val="24"/>
          <w:szCs w:val="24"/>
        </w:rPr>
      </w:pPr>
      <w:r w:rsidRPr="00C6247E">
        <w:rPr>
          <w:rFonts w:eastAsia="Times New Roman"/>
          <w:b w:val="0"/>
          <w:sz w:val="24"/>
          <w:szCs w:val="24"/>
        </w:rPr>
        <w:t>деятельность административная и сопутствующие дополнительные услуги – 3,</w:t>
      </w:r>
      <w:r w:rsidR="00696760" w:rsidRPr="00C6247E">
        <w:rPr>
          <w:rFonts w:eastAsia="Times New Roman"/>
          <w:b w:val="0"/>
          <w:sz w:val="24"/>
          <w:szCs w:val="24"/>
        </w:rPr>
        <w:t>7</w:t>
      </w:r>
      <w:r w:rsidRPr="00C6247E">
        <w:rPr>
          <w:rFonts w:eastAsia="Times New Roman"/>
          <w:b w:val="0"/>
          <w:sz w:val="24"/>
          <w:szCs w:val="24"/>
        </w:rPr>
        <w:t xml:space="preserve"> %;</w:t>
      </w:r>
    </w:p>
    <w:p w:rsidR="00556BF1" w:rsidRPr="00C6247E" w:rsidRDefault="00556BF1" w:rsidP="00556BF1">
      <w:pPr>
        <w:pStyle w:val="2"/>
        <w:keepNext w:val="0"/>
        <w:keepLines w:val="0"/>
        <w:spacing w:before="0"/>
        <w:jc w:val="left"/>
        <w:rPr>
          <w:rFonts w:eastAsia="Times New Roman"/>
          <w:b w:val="0"/>
          <w:sz w:val="24"/>
          <w:szCs w:val="24"/>
        </w:rPr>
      </w:pPr>
      <w:r w:rsidRPr="00C6247E">
        <w:rPr>
          <w:rFonts w:eastAsia="Times New Roman"/>
          <w:b w:val="0"/>
          <w:sz w:val="24"/>
          <w:szCs w:val="24"/>
        </w:rPr>
        <w:t>государственное управление и обеспечение военной безопасности, социальное                   страхование – 1,</w:t>
      </w:r>
      <w:r w:rsidR="00696760" w:rsidRPr="00C6247E">
        <w:rPr>
          <w:rFonts w:eastAsia="Times New Roman"/>
          <w:b w:val="0"/>
          <w:sz w:val="24"/>
          <w:szCs w:val="24"/>
        </w:rPr>
        <w:t>0</w:t>
      </w:r>
      <w:r w:rsidRPr="00C6247E">
        <w:rPr>
          <w:rFonts w:eastAsia="Times New Roman"/>
          <w:b w:val="0"/>
          <w:sz w:val="24"/>
          <w:szCs w:val="24"/>
        </w:rPr>
        <w:t>%;</w:t>
      </w:r>
    </w:p>
    <w:p w:rsidR="00556BF1" w:rsidRPr="00C6247E" w:rsidRDefault="00556BF1" w:rsidP="00556BF1">
      <w:pPr>
        <w:pStyle w:val="2"/>
        <w:keepNext w:val="0"/>
        <w:keepLines w:val="0"/>
        <w:spacing w:before="0"/>
        <w:jc w:val="left"/>
        <w:rPr>
          <w:b w:val="0"/>
          <w:sz w:val="24"/>
          <w:szCs w:val="24"/>
        </w:rPr>
      </w:pPr>
      <w:r w:rsidRPr="00C6247E">
        <w:rPr>
          <w:b w:val="0"/>
          <w:sz w:val="24"/>
          <w:szCs w:val="24"/>
        </w:rPr>
        <w:t>образование – 4,</w:t>
      </w:r>
      <w:r w:rsidR="00696760" w:rsidRPr="00C6247E">
        <w:rPr>
          <w:b w:val="0"/>
          <w:sz w:val="24"/>
          <w:szCs w:val="24"/>
        </w:rPr>
        <w:t>5</w:t>
      </w:r>
      <w:r w:rsidRPr="00C6247E">
        <w:rPr>
          <w:b w:val="0"/>
          <w:sz w:val="24"/>
          <w:szCs w:val="24"/>
        </w:rPr>
        <w:t>%;</w:t>
      </w:r>
    </w:p>
    <w:p w:rsidR="00556BF1" w:rsidRPr="00C6247E" w:rsidRDefault="00556BF1" w:rsidP="00696760">
      <w:pPr>
        <w:pStyle w:val="2"/>
        <w:keepNext w:val="0"/>
        <w:keepLines w:val="0"/>
        <w:spacing w:before="0"/>
        <w:jc w:val="left"/>
        <w:rPr>
          <w:b w:val="0"/>
          <w:sz w:val="24"/>
          <w:szCs w:val="24"/>
        </w:rPr>
      </w:pPr>
      <w:r w:rsidRPr="00C6247E">
        <w:rPr>
          <w:b w:val="0"/>
          <w:sz w:val="24"/>
          <w:szCs w:val="24"/>
        </w:rPr>
        <w:t xml:space="preserve">здравоохранение и предоставление социальных услуг – </w:t>
      </w:r>
      <w:r w:rsidR="00696760" w:rsidRPr="00C6247E">
        <w:rPr>
          <w:b w:val="0"/>
          <w:sz w:val="24"/>
          <w:szCs w:val="24"/>
        </w:rPr>
        <w:t>3,0</w:t>
      </w:r>
      <w:r w:rsidRPr="00C6247E">
        <w:rPr>
          <w:b w:val="0"/>
          <w:sz w:val="24"/>
          <w:szCs w:val="24"/>
        </w:rPr>
        <w:t>%</w:t>
      </w:r>
      <w:r w:rsidR="00696760" w:rsidRPr="00C6247E">
        <w:rPr>
          <w:b w:val="0"/>
          <w:sz w:val="24"/>
          <w:szCs w:val="24"/>
        </w:rPr>
        <w:t xml:space="preserve"> и другие</w:t>
      </w:r>
      <w:r w:rsidRPr="00C6247E">
        <w:rPr>
          <w:b w:val="0"/>
          <w:sz w:val="24"/>
          <w:szCs w:val="24"/>
        </w:rPr>
        <w:t>.</w:t>
      </w:r>
    </w:p>
    <w:p w:rsidR="00CB5D7C" w:rsidRPr="00C6247E" w:rsidRDefault="00CB5D7C" w:rsidP="00696760">
      <w:pPr>
        <w:spacing w:line="240" w:lineRule="auto"/>
      </w:pPr>
      <w:bookmarkStart w:id="49" w:name="_Toc449537832"/>
      <w:r w:rsidRPr="00C6247E">
        <w:t>Численность безработных по состоянию на 01.01.2022 уменьшилась по сравнению с 2020 годом и составила 28 человек (на 01.01.2021- 394 человека), уровень регистрируемой безработицы составил 0,06%.</w:t>
      </w:r>
    </w:p>
    <w:p w:rsidR="00CB5D7C" w:rsidRPr="00C6247E" w:rsidRDefault="00CB5D7C" w:rsidP="0089765B">
      <w:pPr>
        <w:widowControl w:val="0"/>
        <w:spacing w:line="240" w:lineRule="auto"/>
        <w:ind w:firstLine="685"/>
      </w:pPr>
      <w:r w:rsidRPr="00C6247E">
        <w:t xml:space="preserve">При содействии службы занятости за отчетный период трудоустроено 765 человек, из них доля безработных граждан 20,9% (160 человек). Уровень трудоустройства ищущих </w:t>
      </w:r>
      <w:r w:rsidRPr="00C6247E">
        <w:lastRenderedPageBreak/>
        <w:t>работу составил 51,3 %, безработных – 63,0%.</w:t>
      </w:r>
      <w:r w:rsidR="0089765B" w:rsidRPr="00C6247E">
        <w:t xml:space="preserve"> Н</w:t>
      </w:r>
      <w:r w:rsidRPr="00C6247E">
        <w:t xml:space="preserve">а учете </w:t>
      </w:r>
      <w:r w:rsidR="0089765B" w:rsidRPr="00C6247E">
        <w:t xml:space="preserve">в </w:t>
      </w:r>
      <w:r w:rsidRPr="00C6247E">
        <w:t>КУ ХМАО-Югры «Нижневартовский центр занятости населения» в поисках работы состояло 53 инвалида, из них трудоустроено 10 человек. Уровень трудоустройства инвалидов составил 25,6%.</w:t>
      </w:r>
    </w:p>
    <w:p w:rsidR="00CB5D7C" w:rsidRPr="00C6247E" w:rsidRDefault="00CB5D7C" w:rsidP="00696760">
      <w:pPr>
        <w:spacing w:line="240" w:lineRule="auto"/>
        <w:ind w:firstLine="708"/>
        <w:contextualSpacing/>
      </w:pPr>
      <w:r w:rsidRPr="00C6247E">
        <w:t>Меры, принимаемые органами местного самоуправления к недопущению роста безработицы за 2021 год:</w:t>
      </w:r>
    </w:p>
    <w:p w:rsidR="00CB5D7C" w:rsidRPr="00C6247E" w:rsidRDefault="00CB5D7C" w:rsidP="00696760">
      <w:pPr>
        <w:shd w:val="clear" w:color="auto" w:fill="FFFFFF"/>
        <w:spacing w:line="240" w:lineRule="auto"/>
        <w:contextualSpacing/>
      </w:pPr>
      <w:r w:rsidRPr="00C6247E">
        <w:t>еженедельно на аппаратных совещаниях при Главе района рассматривается вопрос о ситуации на рынке труда;</w:t>
      </w:r>
    </w:p>
    <w:p w:rsidR="00CB5D7C" w:rsidRPr="00C6247E" w:rsidRDefault="00CB5D7C" w:rsidP="00696760">
      <w:pPr>
        <w:autoSpaceDE w:val="0"/>
        <w:autoSpaceDN w:val="0"/>
        <w:adjustRightInd w:val="0"/>
        <w:spacing w:line="240" w:lineRule="auto"/>
      </w:pPr>
      <w:r w:rsidRPr="00C6247E">
        <w:t>в адрес организаций, заявивших о высвобождении работников направляются обращения о принятии мер по недопущению сокращения работников, жителей района или изысканию возможности их трудоустройства;</w:t>
      </w:r>
    </w:p>
    <w:p w:rsidR="00CB5D7C" w:rsidRPr="00C6247E" w:rsidRDefault="00CB5D7C" w:rsidP="00696760">
      <w:pPr>
        <w:spacing w:line="240" w:lineRule="auto"/>
        <w:ind w:firstLine="708"/>
      </w:pPr>
      <w:r w:rsidRPr="00C6247E">
        <w:t>проводится разъяснительная работа с работодателями, осуществляющими деятельность на территории района о необходимости предоставления в центр занятости населения сведений в соответствии со ст. 25 Закона РФ «О занятости населения в Российской Федерации»;</w:t>
      </w:r>
    </w:p>
    <w:p w:rsidR="00CB5D7C" w:rsidRPr="00C6247E" w:rsidRDefault="00CB5D7C" w:rsidP="00696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 w:rsidRPr="00C6247E">
        <w:t>обеспечивается работа «прямой телефонной линии» для работников организаций, планирующих установить режим неполного рабочего времени, временную приостановку работ, мероприятия по высвобождению работников;</w:t>
      </w:r>
    </w:p>
    <w:p w:rsidR="00CB5D7C" w:rsidRPr="00C6247E" w:rsidRDefault="00CB5D7C" w:rsidP="00696760">
      <w:pPr>
        <w:spacing w:line="240" w:lineRule="auto"/>
        <w:ind w:left="24" w:firstLine="685"/>
      </w:pPr>
      <w:r w:rsidRPr="00C6247E">
        <w:t xml:space="preserve">проводится мониторинг высвобождения работников и задолженности по выплате заработной платы в организациях, расположенных на территории района. </w:t>
      </w:r>
    </w:p>
    <w:p w:rsidR="00556BF1" w:rsidRPr="00C6247E" w:rsidRDefault="00556BF1" w:rsidP="00556BF1">
      <w:pPr>
        <w:spacing w:line="240" w:lineRule="auto"/>
        <w:rPr>
          <w:rFonts w:eastAsia="Calibri"/>
        </w:rPr>
      </w:pPr>
      <w:bookmarkStart w:id="50" w:name="_Toc449537834"/>
      <w:bookmarkEnd w:id="49"/>
    </w:p>
    <w:p w:rsidR="00556BF1" w:rsidRPr="00C6247E" w:rsidRDefault="00556BF1" w:rsidP="00556BF1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bookmarkStart w:id="51" w:name="_Toc260406089"/>
      <w:bookmarkStart w:id="52" w:name="_Toc292291311"/>
      <w:bookmarkStart w:id="53" w:name="_Toc323392752"/>
      <w:bookmarkStart w:id="54" w:name="_Toc355021707"/>
      <w:bookmarkEnd w:id="50"/>
      <w:r w:rsidRPr="00C6247E">
        <w:rPr>
          <w:sz w:val="24"/>
          <w:szCs w:val="24"/>
        </w:rPr>
        <w:t>1.5. Денежные доходы и расходы населения</w:t>
      </w:r>
      <w:bookmarkEnd w:id="51"/>
      <w:bookmarkEnd w:id="52"/>
      <w:bookmarkEnd w:id="53"/>
      <w:bookmarkEnd w:id="54"/>
    </w:p>
    <w:p w:rsidR="00556BF1" w:rsidRPr="00C6247E" w:rsidRDefault="00556BF1" w:rsidP="00556BF1">
      <w:pPr>
        <w:spacing w:line="240" w:lineRule="auto"/>
      </w:pPr>
      <w:bookmarkStart w:id="55" w:name="203"/>
      <w:bookmarkStart w:id="56" w:name="_Toc449537836"/>
      <w:bookmarkStart w:id="57" w:name="_Toc417897573"/>
      <w:bookmarkStart w:id="58" w:name="_Toc417898030"/>
      <w:bookmarkStart w:id="59" w:name="_Toc418155021"/>
      <w:bookmarkStart w:id="60" w:name="_Toc355021710"/>
    </w:p>
    <w:bookmarkEnd w:id="55"/>
    <w:bookmarkEnd w:id="56"/>
    <w:bookmarkEnd w:id="57"/>
    <w:bookmarkEnd w:id="58"/>
    <w:bookmarkEnd w:id="59"/>
    <w:bookmarkEnd w:id="60"/>
    <w:p w:rsidR="008E50C9" w:rsidRPr="00C6247E" w:rsidRDefault="008E50C9" w:rsidP="008E50C9">
      <w:pPr>
        <w:pStyle w:val="a5"/>
        <w:widowControl w:val="0"/>
        <w:spacing w:after="0" w:line="240" w:lineRule="auto"/>
        <w:ind w:firstLine="708"/>
      </w:pPr>
      <w:r w:rsidRPr="00C6247E">
        <w:t>Основными показателями уровня жизни населения, являются доходы населения. Наибольшую долю учтенных доходов работающего населения составляют заработная плата. Для неработающего населения главный элемент доходов – социальные трансферты.</w:t>
      </w:r>
    </w:p>
    <w:p w:rsidR="008E50C9" w:rsidRPr="00C6247E" w:rsidRDefault="008E50C9" w:rsidP="008E50C9">
      <w:pPr>
        <w:spacing w:line="240" w:lineRule="auto"/>
      </w:pPr>
      <w:bookmarkStart w:id="61" w:name="_Toc449537837"/>
      <w:r w:rsidRPr="00C6247E">
        <w:t>Среднемесячные денежные доходы населения в 2021 году увеличились к уровню 2020 года на 2,0 % и составили 39 700 рубл</w:t>
      </w:r>
      <w:bookmarkEnd w:id="61"/>
      <w:r w:rsidRPr="00C6247E">
        <w:t xml:space="preserve">ей. </w:t>
      </w:r>
      <w:bookmarkStart w:id="62" w:name="_Toc417897574"/>
      <w:bookmarkStart w:id="63" w:name="_Toc417898031"/>
      <w:bookmarkStart w:id="64" w:name="_Toc418155022"/>
      <w:bookmarkStart w:id="65" w:name="_Toc449537838"/>
      <w:bookmarkStart w:id="66" w:name="_Toc355021711"/>
      <w:r w:rsidRPr="00C6247E">
        <w:t>Средняя заработная плата по полному кругу составила 64 600 рублей, что выше показателя предыдущего года на 3,0 %</w:t>
      </w:r>
      <w:bookmarkStart w:id="67" w:name="_Toc417897575"/>
      <w:bookmarkStart w:id="68" w:name="_Toc417898032"/>
      <w:bookmarkStart w:id="69" w:name="_Toc418155023"/>
      <w:bookmarkStart w:id="70" w:name="_Toc449537839"/>
      <w:bookmarkEnd w:id="62"/>
      <w:bookmarkEnd w:id="63"/>
      <w:bookmarkEnd w:id="64"/>
      <w:bookmarkEnd w:id="65"/>
      <w:r w:rsidRPr="00C6247E">
        <w:t>.</w:t>
      </w:r>
      <w:bookmarkStart w:id="71" w:name="_Toc449537840"/>
      <w:bookmarkStart w:id="72" w:name="_Toc417897518"/>
      <w:bookmarkStart w:id="73" w:name="_Toc417897975"/>
      <w:bookmarkStart w:id="74" w:name="_Toc418154966"/>
      <w:bookmarkStart w:id="75" w:name="_Toc417897576"/>
      <w:bookmarkStart w:id="76" w:name="_Toc417898033"/>
      <w:bookmarkStart w:id="77" w:name="_Toc418155024"/>
      <w:bookmarkStart w:id="78" w:name="_Toc355021712"/>
      <w:bookmarkEnd w:id="66"/>
      <w:bookmarkEnd w:id="67"/>
      <w:bookmarkEnd w:id="68"/>
      <w:bookmarkEnd w:id="69"/>
      <w:bookmarkEnd w:id="70"/>
    </w:p>
    <w:p w:rsidR="008E50C9" w:rsidRPr="00C6247E" w:rsidRDefault="008E50C9" w:rsidP="008E50C9">
      <w:pPr>
        <w:pStyle w:val="a5"/>
        <w:widowControl w:val="0"/>
        <w:spacing w:after="0" w:line="240" w:lineRule="auto"/>
        <w:ind w:firstLine="708"/>
      </w:pPr>
      <w:r w:rsidRPr="00C6247E">
        <w:t>Основным источником доходов пенсионеров являются пенсии - основная и дополнительная, а также дополнительные выплаты неработающим пенсионерам из средств федерального, окружного и местного бюджетов, адресная социальная помощь.</w:t>
      </w:r>
    </w:p>
    <w:p w:rsidR="008E50C9" w:rsidRPr="00C6247E" w:rsidRDefault="008E50C9" w:rsidP="008E50C9">
      <w:pPr>
        <w:pStyle w:val="a5"/>
        <w:widowControl w:val="0"/>
        <w:spacing w:after="0" w:line="240" w:lineRule="auto"/>
        <w:ind w:firstLine="708"/>
      </w:pPr>
      <w:r w:rsidRPr="00C6247E">
        <w:t>В целом средний размер дохода пенсионера единовременных денежных выплат отдельным категориям граждан, а также выплат и материальной помощи пенсионерам из средств бюджетов всех уровней по оценке составил 23400 руб., что выше на 1,0 % соответствующего периода предыдущего года.</w:t>
      </w:r>
    </w:p>
    <w:p w:rsidR="008E50C9" w:rsidRPr="00C6247E" w:rsidRDefault="008E50C9" w:rsidP="008E50C9">
      <w:pPr>
        <w:spacing w:line="240" w:lineRule="auto"/>
      </w:pPr>
      <w:bookmarkStart w:id="79" w:name="_Toc355021713"/>
      <w:bookmarkStart w:id="80" w:name="_Toc417897577"/>
      <w:bookmarkStart w:id="81" w:name="_Toc417898034"/>
      <w:bookmarkStart w:id="82" w:name="_Toc418155025"/>
      <w:bookmarkStart w:id="83" w:name="_Toc449537842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C6247E">
        <w:t>В структуре денежных расходов населения наибольший удельный вес занимают потребительские расходы и обязательные платежи. Потребительские расходы на душу населения в 2021 году составили 13 350 рубля в месяц, или 34,0% от среднедушевого дохода населения. В структуре денежных расходов населения района недостаточно учтены расходы на авиа- и железнодорожные перевозки пассажиров, приобретение путевок, осуществление крупных покупок, таких как автомобили, мебель и др., так как эти виды потребительских расходов жители района преимущественно осуществляют в городе. Кроме того, значительная доля работающих на предприятиях района трудятся вахтовым методом и большую часть своей зарплаты вывозят за пределы округа, что также влияет на величину потребительских расходов района.</w:t>
      </w:r>
      <w:bookmarkEnd w:id="79"/>
      <w:bookmarkEnd w:id="80"/>
      <w:bookmarkEnd w:id="81"/>
      <w:bookmarkEnd w:id="82"/>
      <w:bookmarkEnd w:id="83"/>
    </w:p>
    <w:p w:rsidR="008E50C9" w:rsidRPr="00C6247E" w:rsidRDefault="008E50C9" w:rsidP="008E50C9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bookmarkStart w:id="84" w:name="_Toc260406090"/>
      <w:bookmarkStart w:id="85" w:name="_Toc292291312"/>
      <w:bookmarkStart w:id="86" w:name="_Toc323392753"/>
      <w:bookmarkStart w:id="87" w:name="_Toc355021715"/>
    </w:p>
    <w:p w:rsidR="008E50C9" w:rsidRPr="00C6247E" w:rsidRDefault="008E50C9" w:rsidP="008E50C9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r w:rsidRPr="00C6247E">
        <w:rPr>
          <w:sz w:val="24"/>
          <w:szCs w:val="24"/>
        </w:rPr>
        <w:t>1.6. Потребительский рынок</w:t>
      </w:r>
      <w:bookmarkEnd w:id="84"/>
      <w:bookmarkEnd w:id="85"/>
      <w:bookmarkEnd w:id="86"/>
      <w:bookmarkEnd w:id="87"/>
    </w:p>
    <w:p w:rsidR="008E50C9" w:rsidRPr="00C6247E" w:rsidRDefault="008E50C9" w:rsidP="008E50C9">
      <w:pPr>
        <w:spacing w:line="240" w:lineRule="auto"/>
      </w:pPr>
    </w:p>
    <w:p w:rsidR="008E50C9" w:rsidRPr="00C6247E" w:rsidRDefault="008E50C9" w:rsidP="008E50C9">
      <w:pPr>
        <w:pStyle w:val="a5"/>
        <w:widowControl w:val="0"/>
        <w:spacing w:after="0" w:line="240" w:lineRule="auto"/>
        <w:ind w:firstLine="708"/>
      </w:pPr>
      <w:r w:rsidRPr="00C6247E">
        <w:rPr>
          <w:bCs w:val="0"/>
        </w:rPr>
        <w:t xml:space="preserve">Одним из приоритетных </w:t>
      </w:r>
      <w:r w:rsidRPr="00C6247E">
        <w:t xml:space="preserve">направлений деятельности администрации района является развитие и регулирование потребительского рынка. В 2021 году введенные ограничительные меры по предотвращению распространения </w:t>
      </w:r>
      <w:proofErr w:type="spellStart"/>
      <w:r w:rsidRPr="00C6247E">
        <w:t>коронавирусной</w:t>
      </w:r>
      <w:proofErr w:type="spellEnd"/>
      <w:r w:rsidRPr="00C6247E">
        <w:t xml:space="preserve"> инфекции оказали негативное влияние на потребительский спрос, и как следствие замедлили темпы </w:t>
      </w:r>
      <w:r w:rsidRPr="00C6247E">
        <w:lastRenderedPageBreak/>
        <w:t xml:space="preserve">роста оборота розничной торговли и объема платных услуг. По оценке на 01.01.2022 года оборот розничной торговли составил 2840,5 </w:t>
      </w:r>
      <w:proofErr w:type="spellStart"/>
      <w:r w:rsidRPr="00C6247E">
        <w:t>млн.руб</w:t>
      </w:r>
      <w:proofErr w:type="spellEnd"/>
      <w:r w:rsidRPr="00C6247E">
        <w:t>., что выше аналогичного периода прошлого года на 3,9 %</w:t>
      </w:r>
      <w:r w:rsidR="005C38E4" w:rsidRPr="00C6247E">
        <w:t>;</w:t>
      </w:r>
      <w:r w:rsidRPr="00C6247E">
        <w:t xml:space="preserve"> объем платных услуг составил 1115,4 </w:t>
      </w:r>
      <w:proofErr w:type="spellStart"/>
      <w:r w:rsidRPr="00C6247E">
        <w:t>млн.руб</w:t>
      </w:r>
      <w:proofErr w:type="spellEnd"/>
      <w:r w:rsidRPr="00C6247E">
        <w:t xml:space="preserve">., что выше аналогичного периода 2020 года на 3,7%. </w:t>
      </w:r>
    </w:p>
    <w:p w:rsidR="008E50C9" w:rsidRPr="00C6247E" w:rsidRDefault="008E50C9" w:rsidP="008E50C9">
      <w:pPr>
        <w:pStyle w:val="a5"/>
        <w:widowControl w:val="0"/>
        <w:spacing w:after="0" w:line="240" w:lineRule="auto"/>
        <w:ind w:firstLine="708"/>
      </w:pPr>
      <w:r w:rsidRPr="00C6247E">
        <w:t>На развитие потребительского рынка существенное влияние оказывает совершенствование инфраструктуры розничной торговли, наличие сетевых магазинов, располагающихся на территории района.</w:t>
      </w:r>
    </w:p>
    <w:p w:rsidR="008E50C9" w:rsidRPr="00C6247E" w:rsidRDefault="008E50C9" w:rsidP="008E50C9">
      <w:pPr>
        <w:pStyle w:val="a5"/>
        <w:widowControl w:val="0"/>
        <w:spacing w:after="0" w:line="240" w:lineRule="auto"/>
        <w:ind w:firstLine="708"/>
      </w:pPr>
      <w:bookmarkStart w:id="88" w:name="_Toc449537846"/>
      <w:bookmarkStart w:id="89" w:name="_Toc355021718"/>
      <w:bookmarkStart w:id="90" w:name="_Toc417897582"/>
      <w:bookmarkStart w:id="91" w:name="_Toc417898039"/>
      <w:bookmarkStart w:id="92" w:name="_Toc418155030"/>
      <w:r w:rsidRPr="00C6247E">
        <w:t>На территории района функционируют 594 объекта потребительского рынка, в том числе: 175 объектов розничной торговли (из них в поселениях района 144 объекта); 357 объектов общественного питания, в том числе столовые на месторождениях (из них в поселениях района 20 объектов), 18 пекарен и цехов по производству хлеба и кондитерских изделий, в 44 объектах оказываются различные бытовые услуги населению района.</w:t>
      </w:r>
    </w:p>
    <w:p w:rsidR="008E50C9" w:rsidRPr="00C6247E" w:rsidRDefault="008E50C9" w:rsidP="008E50C9">
      <w:pPr>
        <w:pStyle w:val="a5"/>
        <w:widowControl w:val="0"/>
        <w:spacing w:after="0" w:line="240" w:lineRule="auto"/>
        <w:ind w:firstLine="708"/>
      </w:pPr>
      <w:r w:rsidRPr="00C6247E">
        <w:t xml:space="preserve">452 вида товарной продукции предпринимателей Нижневартовского района выпускаются с использованием знака «Сделано в Югре», что позволяет реализовать товары в крупных торговых сетях и популярных интернет – площадках. </w:t>
      </w:r>
      <w:bookmarkStart w:id="93" w:name="_Toc449537850"/>
      <w:bookmarkEnd w:id="88"/>
      <w:bookmarkEnd w:id="89"/>
      <w:bookmarkEnd w:id="90"/>
      <w:bookmarkEnd w:id="91"/>
      <w:bookmarkEnd w:id="92"/>
      <w:r w:rsidRPr="00C6247E">
        <w:t>В целях организации свободного доступа товаропроизводителей на рынок, популяризации продукции местных товаропроизводителей, обмена опытом и повышения культуры обслуживания населения, насыщения рынка района товарами местных товаропроизводителей, наиболее полного удовлетворения спроса жителей района в свежих и качественных продуктах питания, создания дополнительной конкуренции по ценообразованию и качеству товаров за 2021 год проведено 48 выставок-продаж в населенных пунктах района.</w:t>
      </w:r>
    </w:p>
    <w:bookmarkEnd w:id="93"/>
    <w:p w:rsidR="00556BF1" w:rsidRPr="00C6247E" w:rsidRDefault="00556BF1" w:rsidP="00556BF1">
      <w:pPr>
        <w:spacing w:line="240" w:lineRule="auto"/>
      </w:pPr>
    </w:p>
    <w:p w:rsidR="00556BF1" w:rsidRPr="00C6247E" w:rsidRDefault="00556BF1" w:rsidP="00556BF1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bookmarkStart w:id="94" w:name="_Toc260406091"/>
      <w:bookmarkStart w:id="95" w:name="_Toc323392754"/>
      <w:bookmarkStart w:id="96" w:name="_Toc355021721"/>
      <w:r w:rsidRPr="00C6247E">
        <w:rPr>
          <w:sz w:val="24"/>
          <w:szCs w:val="24"/>
        </w:rPr>
        <w:t>1.7. Криминогенная обстановка</w:t>
      </w:r>
      <w:bookmarkEnd w:id="94"/>
      <w:bookmarkEnd w:id="95"/>
      <w:bookmarkEnd w:id="96"/>
    </w:p>
    <w:p w:rsidR="00556BF1" w:rsidRPr="00C6247E" w:rsidRDefault="00556BF1" w:rsidP="00556BF1"/>
    <w:p w:rsidR="00216794" w:rsidRPr="00C6247E" w:rsidRDefault="00216794" w:rsidP="002167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97" w:name="_Toc417898042"/>
      <w:bookmarkStart w:id="98" w:name="_Toc418155033"/>
      <w:bookmarkStart w:id="99" w:name="_Toc449537852"/>
      <w:bookmarkStart w:id="100" w:name="_Toc355021723"/>
      <w:r w:rsidRPr="00C6247E">
        <w:rPr>
          <w:rFonts w:ascii="Times New Roman" w:hAnsi="Times New Roman"/>
          <w:sz w:val="24"/>
          <w:szCs w:val="24"/>
        </w:rPr>
        <w:t>Сотрудниками МОМВД России «Нижневартовский» осуществляется постоянный контроль за криминогенной обстановкой на территории района. Обеспечивается охрана общественного порядка при проведении общественных и культурно-массовых мероприятий, проводятся оперативно-профилактические мероприятия</w:t>
      </w:r>
      <w:bookmarkEnd w:id="97"/>
      <w:bookmarkEnd w:id="98"/>
      <w:r w:rsidRPr="00C6247E">
        <w:rPr>
          <w:rFonts w:ascii="Times New Roman" w:hAnsi="Times New Roman"/>
          <w:sz w:val="24"/>
          <w:szCs w:val="24"/>
        </w:rPr>
        <w:t>, осуществляется комплекс организационных и практических мероприятий в целях обеспечения противодействия террористическим и экстремистским проявлениям, усиления борьбы с незаконным оборотом оружия, боеприпасов и взрывчатых веществ.</w:t>
      </w:r>
      <w:bookmarkEnd w:id="99"/>
    </w:p>
    <w:p w:rsidR="00216794" w:rsidRPr="00C6247E" w:rsidRDefault="00216794" w:rsidP="002167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101" w:name="_Toc449537853"/>
      <w:r w:rsidRPr="00C6247E">
        <w:rPr>
          <w:rFonts w:ascii="Times New Roman" w:hAnsi="Times New Roman"/>
          <w:sz w:val="24"/>
          <w:szCs w:val="24"/>
        </w:rPr>
        <w:t>В 2021 году зарегистрировано 578 преступлений, в основном имущественного характера, по сравнению с прошлым годом уровень преступности снизился на 8,8%.</w:t>
      </w:r>
    </w:p>
    <w:p w:rsidR="00216794" w:rsidRPr="00C6247E" w:rsidRDefault="00216794" w:rsidP="002167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6247E">
        <w:rPr>
          <w:rFonts w:ascii="Times New Roman" w:hAnsi="Times New Roman"/>
          <w:sz w:val="24"/>
          <w:szCs w:val="24"/>
        </w:rPr>
        <w:t>Раскрыто 58,2% совершенных противоправных деяний, 21% из которых тяжкие и особо тяжкие преступления.</w:t>
      </w:r>
      <w:bookmarkStart w:id="102" w:name="_Toc449537854"/>
      <w:bookmarkEnd w:id="101"/>
      <w:r w:rsidRPr="00C6247E">
        <w:rPr>
          <w:rFonts w:ascii="Times New Roman" w:hAnsi="Times New Roman"/>
          <w:sz w:val="24"/>
          <w:szCs w:val="24"/>
        </w:rPr>
        <w:t xml:space="preserve"> В 2021 году на территории района совершено два разбойных нападения и два грабежа. Количество преступлений против собственности </w:t>
      </w:r>
      <w:r w:rsidR="005C38E4" w:rsidRPr="00C6247E">
        <w:rPr>
          <w:rFonts w:ascii="Times New Roman" w:hAnsi="Times New Roman"/>
          <w:sz w:val="24"/>
          <w:szCs w:val="24"/>
        </w:rPr>
        <w:t>сократилось на 7%, c 314 до 292</w:t>
      </w:r>
      <w:r w:rsidRPr="00C6247E">
        <w:rPr>
          <w:rFonts w:ascii="Times New Roman" w:hAnsi="Times New Roman"/>
          <w:sz w:val="24"/>
          <w:szCs w:val="24"/>
        </w:rPr>
        <w:t>. Однако увеличилось число хищений с объектов нефтегазового комплекса на 42%.</w:t>
      </w:r>
    </w:p>
    <w:p w:rsidR="00216794" w:rsidRPr="00C6247E" w:rsidRDefault="00216794" w:rsidP="00216794">
      <w:pPr>
        <w:tabs>
          <w:tab w:val="left" w:pos="0"/>
        </w:tabs>
        <w:autoSpaceDE w:val="0"/>
        <w:autoSpaceDN w:val="0"/>
        <w:adjustRightInd w:val="0"/>
        <w:spacing w:line="240" w:lineRule="auto"/>
      </w:pPr>
      <w:r w:rsidRPr="00C6247E">
        <w:t xml:space="preserve">Отмечается рост уголовно-наказуемых деяний против личности </w:t>
      </w:r>
      <w:r w:rsidR="005C38E4" w:rsidRPr="00C6247E">
        <w:t xml:space="preserve">на </w:t>
      </w:r>
      <w:r w:rsidRPr="00C6247E">
        <w:t>3,8%</w:t>
      </w:r>
      <w:r w:rsidR="00716EF9" w:rsidRPr="00C6247E">
        <w:t xml:space="preserve"> и составило 10</w:t>
      </w:r>
      <w:r w:rsidRPr="00C6247E">
        <w:t>8, раскрыты практически все преступления</w:t>
      </w:r>
      <w:r w:rsidR="00716EF9" w:rsidRPr="00C6247E">
        <w:t xml:space="preserve"> -</w:t>
      </w:r>
      <w:r w:rsidRPr="00C6247E">
        <w:t>106</w:t>
      </w:r>
      <w:r w:rsidR="00716EF9" w:rsidRPr="00C6247E">
        <w:t>.</w:t>
      </w:r>
      <w:r w:rsidRPr="00C6247E">
        <w:t xml:space="preserve"> Не увеличилось число убийств </w:t>
      </w:r>
      <w:r w:rsidR="00716EF9" w:rsidRPr="00C6247E">
        <w:t>-</w:t>
      </w:r>
      <w:r w:rsidRPr="00C6247E">
        <w:t xml:space="preserve">3, угроз убийством </w:t>
      </w:r>
      <w:r w:rsidR="00716EF9" w:rsidRPr="00C6247E">
        <w:t>-</w:t>
      </w:r>
      <w:r w:rsidRPr="00C6247E">
        <w:t>31, сократилось количество фактов умышленного при</w:t>
      </w:r>
      <w:r w:rsidR="00716EF9" w:rsidRPr="00C6247E">
        <w:t>чинения тяжкого вреда здоровью на</w:t>
      </w:r>
      <w:r w:rsidRPr="00C6247E">
        <w:t xml:space="preserve"> 60%; с 10 до 4</w:t>
      </w:r>
      <w:r w:rsidR="00716EF9" w:rsidRPr="00C6247E">
        <w:t xml:space="preserve">. </w:t>
      </w:r>
    </w:p>
    <w:p w:rsidR="00216794" w:rsidRPr="00C6247E" w:rsidRDefault="00216794" w:rsidP="002167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6247E">
        <w:rPr>
          <w:rFonts w:ascii="Times New Roman" w:hAnsi="Times New Roman"/>
          <w:sz w:val="24"/>
          <w:szCs w:val="24"/>
        </w:rPr>
        <w:t xml:space="preserve">Уровень «бытовой преступности» не увеличился и остался стабильным, в течении года совершено 37 преступлений. </w:t>
      </w:r>
    </w:p>
    <w:p w:rsidR="00216794" w:rsidRPr="00C6247E" w:rsidRDefault="00216794" w:rsidP="002167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103" w:name="_Toc449537855"/>
      <w:bookmarkEnd w:id="102"/>
      <w:r w:rsidRPr="00C6247E">
        <w:rPr>
          <w:rFonts w:ascii="Times New Roman" w:hAnsi="Times New Roman"/>
          <w:sz w:val="24"/>
          <w:szCs w:val="24"/>
        </w:rPr>
        <w:t>В 2021 году выявлено 22 уголовно-наказуемых деяний, связанных с незаконным оборотом оружия, из которых все раскрыты. Значительно сократилось число преступлений, совершенных с применением и использованием огнестрельного оружия с 9 до 2.</w:t>
      </w:r>
    </w:p>
    <w:p w:rsidR="00216794" w:rsidRPr="00C6247E" w:rsidRDefault="00216794" w:rsidP="002167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6247E">
        <w:rPr>
          <w:rFonts w:ascii="Times New Roman" w:hAnsi="Times New Roman"/>
          <w:sz w:val="24"/>
          <w:szCs w:val="24"/>
        </w:rPr>
        <w:t xml:space="preserve">Приоритетным направлением деятельности остается проводимая работа по пропаганде </w:t>
      </w:r>
      <w:proofErr w:type="spellStart"/>
      <w:r w:rsidRPr="00C6247E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C6247E">
        <w:rPr>
          <w:rFonts w:ascii="Times New Roman" w:hAnsi="Times New Roman"/>
          <w:sz w:val="24"/>
          <w:szCs w:val="24"/>
        </w:rPr>
        <w:t xml:space="preserve"> деятельности, в том числе получение информации о негативных процессах, происходящих в молодёжной среде, идеологах и руководителях радикальных организаций, вовлекающих молодёжь в совершение экстремистских правонарушений.</w:t>
      </w:r>
    </w:p>
    <w:p w:rsidR="00216794" w:rsidRPr="00C6247E" w:rsidRDefault="00216794" w:rsidP="002167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6247E">
        <w:rPr>
          <w:rFonts w:ascii="Times New Roman" w:hAnsi="Times New Roman"/>
          <w:sz w:val="24"/>
          <w:szCs w:val="24"/>
        </w:rPr>
        <w:lastRenderedPageBreak/>
        <w:t>Межконфессиональные отношения в Нижневартовском районе остаются стабильными, противоречий и конфликтных ситуаций не возникало.</w:t>
      </w:r>
    </w:p>
    <w:p w:rsidR="00216794" w:rsidRPr="00C6247E" w:rsidRDefault="00216794" w:rsidP="002167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104" w:name="_Toc417898043"/>
      <w:bookmarkStart w:id="105" w:name="_Toc418155034"/>
      <w:bookmarkStart w:id="106" w:name="_Toc449537857"/>
      <w:bookmarkEnd w:id="103"/>
      <w:r w:rsidRPr="00C6247E">
        <w:rPr>
          <w:rFonts w:ascii="Times New Roman" w:hAnsi="Times New Roman"/>
          <w:sz w:val="24"/>
          <w:szCs w:val="24"/>
        </w:rPr>
        <w:t>В Нижневартовском районе действуют муниципальные программы «Профилактика правонарушений в сфере общественного порядка в Нижневартовском районе», «Профилактика терроризма и экстремизма, укрепление межнационального и межконфессионального согласия в Нижневартовском районе», которые направлены на стабилизацию криминогенной обстановки на территории района.</w:t>
      </w:r>
      <w:bookmarkEnd w:id="100"/>
      <w:bookmarkEnd w:id="104"/>
      <w:bookmarkEnd w:id="105"/>
      <w:bookmarkEnd w:id="106"/>
    </w:p>
    <w:p w:rsidR="00556BF1" w:rsidRPr="00C6247E" w:rsidRDefault="00216794" w:rsidP="002167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107" w:name="_Toc449537858"/>
      <w:r w:rsidRPr="00C6247E">
        <w:rPr>
          <w:rFonts w:ascii="Times New Roman" w:hAnsi="Times New Roman"/>
          <w:sz w:val="24"/>
          <w:szCs w:val="24"/>
        </w:rPr>
        <w:t>Оперативная обстановка на территории района остается стабильной и находится под постоянным контролем сотрудников полиции. Усилия личного состава направлены на обеспечение спокойной и безопасной жизни населения.</w:t>
      </w:r>
      <w:bookmarkEnd w:id="107"/>
    </w:p>
    <w:p w:rsidR="001F19C4" w:rsidRPr="00C6247E" w:rsidRDefault="001F19C4" w:rsidP="003E554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CC2BB5" w:rsidRPr="00C6247E" w:rsidRDefault="00CC2BB5" w:rsidP="002A03C7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E21CBA" w:rsidRPr="00C6247E" w:rsidRDefault="00E21CBA" w:rsidP="002A03C7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E21CBA" w:rsidRPr="00C6247E" w:rsidRDefault="00E21CBA" w:rsidP="002A03C7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E21CBA" w:rsidRPr="00C6247E" w:rsidRDefault="00E21CBA" w:rsidP="002A03C7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E21CBA" w:rsidRPr="00C6247E" w:rsidRDefault="00E21CBA" w:rsidP="002A03C7">
      <w:pPr>
        <w:widowControl w:val="0"/>
        <w:autoSpaceDE w:val="0"/>
        <w:autoSpaceDN w:val="0"/>
        <w:adjustRightInd w:val="0"/>
        <w:spacing w:line="240" w:lineRule="auto"/>
        <w:jc w:val="center"/>
        <w:sectPr w:rsidR="00E21CBA" w:rsidRPr="00C6247E" w:rsidSect="00BD7BE3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56BF1" w:rsidRPr="00C6247E" w:rsidRDefault="00556BF1" w:rsidP="00556BF1">
      <w:pPr>
        <w:ind w:firstLine="0"/>
        <w:jc w:val="right"/>
        <w:rPr>
          <w:b/>
        </w:rPr>
      </w:pPr>
      <w:r w:rsidRPr="00C6247E">
        <w:rPr>
          <w:b/>
        </w:rPr>
        <w:lastRenderedPageBreak/>
        <w:t>1.8. Состояние жилищного фонда</w:t>
      </w:r>
      <w:bookmarkStart w:id="108" w:name="_Toc417898049"/>
      <w:bookmarkStart w:id="109" w:name="_Toc418155040"/>
      <w:bookmarkEnd w:id="108"/>
      <w:bookmarkEnd w:id="109"/>
      <w:r w:rsidRPr="00C6247E">
        <w:rPr>
          <w:b/>
        </w:rPr>
        <w:t xml:space="preserve">                                                                       Таблица 1</w:t>
      </w:r>
    </w:p>
    <w:p w:rsidR="00556BF1" w:rsidRPr="00C6247E" w:rsidRDefault="00556BF1" w:rsidP="00556BF1">
      <w:pPr>
        <w:autoSpaceDE w:val="0"/>
        <w:autoSpaceDN w:val="0"/>
        <w:adjustRightInd w:val="0"/>
        <w:spacing w:line="240" w:lineRule="auto"/>
        <w:ind w:firstLine="0"/>
        <w:jc w:val="center"/>
      </w:pPr>
      <w:bookmarkStart w:id="110" w:name="_Toc417898050"/>
      <w:bookmarkStart w:id="111" w:name="_Toc418155041"/>
      <w:bookmarkStart w:id="112" w:name="_Toc449537860"/>
      <w:r w:rsidRPr="00C6247E">
        <w:t>Информация о состоянии жилищного фонда в</w:t>
      </w:r>
      <w:bookmarkStart w:id="113" w:name="_Toc417898052"/>
      <w:bookmarkStart w:id="114" w:name="_Toc418155043"/>
      <w:bookmarkStart w:id="115" w:name="_Toc449537862"/>
      <w:bookmarkEnd w:id="110"/>
      <w:bookmarkEnd w:id="111"/>
      <w:bookmarkEnd w:id="112"/>
    </w:p>
    <w:p w:rsidR="00556BF1" w:rsidRPr="00C6247E" w:rsidRDefault="00556BF1" w:rsidP="00556BF1">
      <w:pPr>
        <w:ind w:firstLine="0"/>
        <w:jc w:val="center"/>
        <w:rPr>
          <w:b/>
        </w:rPr>
      </w:pPr>
      <w:bookmarkStart w:id="116" w:name="_Toc449537863"/>
      <w:bookmarkStart w:id="117" w:name="_Toc417898053"/>
      <w:bookmarkStart w:id="118" w:name="_Toc418155044"/>
      <w:bookmarkEnd w:id="113"/>
      <w:bookmarkEnd w:id="114"/>
      <w:bookmarkEnd w:id="115"/>
      <w:r w:rsidRPr="00C6247E">
        <w:t xml:space="preserve">Нижневартовском район </w:t>
      </w:r>
      <w:bookmarkEnd w:id="116"/>
      <w:bookmarkEnd w:id="117"/>
      <w:bookmarkEnd w:id="118"/>
      <w:r w:rsidRPr="00C6247E">
        <w:t>за отчетный период, кв. метров</w:t>
      </w:r>
    </w:p>
    <w:p w:rsidR="00556BF1" w:rsidRPr="00C6247E" w:rsidRDefault="00556BF1" w:rsidP="00556BF1">
      <w:pPr>
        <w:autoSpaceDE w:val="0"/>
        <w:autoSpaceDN w:val="0"/>
        <w:adjustRightInd w:val="0"/>
        <w:spacing w:line="240" w:lineRule="auto"/>
        <w:ind w:firstLine="0"/>
        <w:jc w:val="center"/>
      </w:pPr>
      <w:bookmarkStart w:id="119" w:name="Par466"/>
      <w:bookmarkEnd w:id="119"/>
    </w:p>
    <w:tbl>
      <w:tblPr>
        <w:tblpPr w:leftFromText="180" w:rightFromText="180" w:vertAnchor="text" w:horzAnchor="page" w:tblpX="1006" w:tblpY="-300"/>
        <w:tblOverlap w:val="never"/>
        <w:tblW w:w="14893" w:type="dxa"/>
        <w:tblLook w:val="04A0" w:firstRow="1" w:lastRow="0" w:firstColumn="1" w:lastColumn="0" w:noHBand="0" w:noVBand="1"/>
      </w:tblPr>
      <w:tblGrid>
        <w:gridCol w:w="1245"/>
        <w:gridCol w:w="1444"/>
        <w:gridCol w:w="1411"/>
        <w:gridCol w:w="1417"/>
        <w:gridCol w:w="1466"/>
        <w:gridCol w:w="1134"/>
        <w:gridCol w:w="1400"/>
        <w:gridCol w:w="1276"/>
        <w:gridCol w:w="1508"/>
        <w:gridCol w:w="1132"/>
        <w:gridCol w:w="1460"/>
      </w:tblGrid>
      <w:tr w:rsidR="00556BF1" w:rsidRPr="00C6247E" w:rsidTr="00666754">
        <w:trPr>
          <w:trHeight w:val="43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Отчетный период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Общая площадь жилых помещений на начало года, всего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в том числе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Выбыло общей площади жилых помещений за год, всего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в том числе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Общая площадь жилых помещений, введенная в действие за год</w:t>
            </w:r>
          </w:p>
        </w:tc>
      </w:tr>
      <w:tr w:rsidR="00556BF1" w:rsidRPr="00C6247E" w:rsidTr="00666754">
        <w:trPr>
          <w:trHeight w:val="1664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площадь ветхого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площадь аварийного жилищного фонда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площадь пригодного для проживания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прочее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снесено по причине ветхости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снесено по причине аварийности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иные причины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</w:rPr>
            </w:pPr>
          </w:p>
        </w:tc>
      </w:tr>
      <w:tr w:rsidR="00A503A3" w:rsidRPr="00C6247E" w:rsidTr="00AF57E3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3A3" w:rsidRPr="00C6247E" w:rsidRDefault="00A503A3" w:rsidP="002405A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2018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633 652,00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26 763,00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606 889,00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3 145,80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3 145,80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10 350,50</w:t>
            </w:r>
          </w:p>
        </w:tc>
      </w:tr>
      <w:tr w:rsidR="00A503A3" w:rsidRPr="00C6247E" w:rsidTr="00AF57E3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3A3" w:rsidRPr="00C6247E" w:rsidRDefault="00A503A3" w:rsidP="002405A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2019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640 856,70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18 925,00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621 931,70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14 828,60</w:t>
            </w:r>
          </w:p>
        </w:tc>
      </w:tr>
      <w:tr w:rsidR="00A503A3" w:rsidRPr="00C6247E" w:rsidTr="006667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3A3" w:rsidRPr="00C6247E" w:rsidRDefault="00A503A3" w:rsidP="002405A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2020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649 685,30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12 925,00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636 760,30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4 000,00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16 227,00</w:t>
            </w:r>
          </w:p>
        </w:tc>
      </w:tr>
      <w:tr w:rsidR="00A503A3" w:rsidRPr="00C6247E" w:rsidTr="006667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3A3" w:rsidRPr="00C6247E" w:rsidRDefault="00A503A3" w:rsidP="002405A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2021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E60F87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661</w:t>
            </w:r>
            <w:r w:rsidR="009B6465" w:rsidRPr="00C6247E">
              <w:rPr>
                <w:color w:val="000000"/>
              </w:rPr>
              <w:t xml:space="preserve"> </w:t>
            </w:r>
            <w:r w:rsidRPr="00C6247E">
              <w:rPr>
                <w:color w:val="000000"/>
              </w:rPr>
              <w:t>912,3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8 925,00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E60F87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652</w:t>
            </w:r>
            <w:r w:rsidR="009B6465" w:rsidRPr="00C6247E">
              <w:rPr>
                <w:color w:val="000000"/>
              </w:rPr>
              <w:t xml:space="preserve"> </w:t>
            </w:r>
            <w:r w:rsidRPr="00C6247E">
              <w:rPr>
                <w:color w:val="000000"/>
              </w:rPr>
              <w:t>987,3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BF01B5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 xml:space="preserve">2 </w:t>
            </w:r>
            <w:r w:rsidR="00BF01B5" w:rsidRPr="00C6247E">
              <w:rPr>
                <w:color w:val="000000"/>
              </w:rPr>
              <w:t>0</w:t>
            </w:r>
            <w:r w:rsidRPr="00C6247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BF01B5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 xml:space="preserve">2 </w:t>
            </w:r>
            <w:r w:rsidR="00BF01B5" w:rsidRPr="00C6247E">
              <w:rPr>
                <w:color w:val="000000"/>
              </w:rPr>
              <w:t>0</w:t>
            </w:r>
            <w:r w:rsidRPr="00C6247E">
              <w:rPr>
                <w:color w:val="000000"/>
              </w:rPr>
              <w:t>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A503A3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3A3" w:rsidRPr="00C6247E" w:rsidRDefault="00E60F87" w:rsidP="00BF01B5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15</w:t>
            </w:r>
            <w:r w:rsidR="009B6465" w:rsidRPr="00C6247E">
              <w:rPr>
                <w:color w:val="000000"/>
              </w:rPr>
              <w:t xml:space="preserve"> </w:t>
            </w:r>
            <w:r w:rsidRPr="00C6247E">
              <w:rPr>
                <w:color w:val="000000"/>
              </w:rPr>
              <w:t>255,</w:t>
            </w:r>
            <w:r w:rsidR="00BF01B5" w:rsidRPr="00C6247E">
              <w:rPr>
                <w:color w:val="000000"/>
              </w:rPr>
              <w:t>5</w:t>
            </w:r>
            <w:r w:rsidRPr="00C6247E">
              <w:rPr>
                <w:color w:val="000000"/>
              </w:rPr>
              <w:t>0</w:t>
            </w:r>
          </w:p>
        </w:tc>
      </w:tr>
      <w:tr w:rsidR="00151371" w:rsidRPr="00C6247E" w:rsidTr="006667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371" w:rsidRPr="00C6247E" w:rsidRDefault="00151371" w:rsidP="002405A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2022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E60F87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675</w:t>
            </w:r>
            <w:r w:rsidR="009B6465" w:rsidRPr="00C6247E">
              <w:rPr>
                <w:color w:val="000000"/>
              </w:rPr>
              <w:t xml:space="preserve"> </w:t>
            </w:r>
            <w:r w:rsidRPr="00C6247E">
              <w:rPr>
                <w:color w:val="000000"/>
              </w:rPr>
              <w:t>167,8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6 925,00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E60F87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668</w:t>
            </w:r>
            <w:r w:rsidR="009B6465" w:rsidRPr="00C6247E">
              <w:rPr>
                <w:color w:val="000000"/>
              </w:rPr>
              <w:t xml:space="preserve"> </w:t>
            </w:r>
            <w:r w:rsidRPr="00C6247E">
              <w:rPr>
                <w:color w:val="000000"/>
              </w:rPr>
              <w:t>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3 400,00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16</w:t>
            </w:r>
            <w:r w:rsidR="009B6465" w:rsidRPr="00C6247E">
              <w:rPr>
                <w:color w:val="000000"/>
              </w:rPr>
              <w:t xml:space="preserve"> </w:t>
            </w:r>
            <w:r w:rsidRPr="00C6247E">
              <w:rPr>
                <w:color w:val="000000"/>
              </w:rPr>
              <w:t>500,0</w:t>
            </w:r>
          </w:p>
        </w:tc>
      </w:tr>
      <w:tr w:rsidR="00151371" w:rsidRPr="00C6247E" w:rsidTr="006667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371" w:rsidRPr="00C6247E" w:rsidRDefault="00151371" w:rsidP="002405A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2023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E60F87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688</w:t>
            </w:r>
            <w:r w:rsidR="009B6465" w:rsidRPr="00C6247E">
              <w:rPr>
                <w:color w:val="000000"/>
              </w:rPr>
              <w:t xml:space="preserve"> </w:t>
            </w:r>
            <w:r w:rsidRPr="00C6247E">
              <w:rPr>
                <w:color w:val="000000"/>
              </w:rPr>
              <w:t>267,8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3 325,00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E60F87" w:rsidP="006C1475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6</w:t>
            </w:r>
            <w:r w:rsidR="006C1475" w:rsidRPr="00C6247E">
              <w:rPr>
                <w:color w:val="000000"/>
              </w:rPr>
              <w:t>8</w:t>
            </w:r>
            <w:r w:rsidRPr="00C6247E">
              <w:rPr>
                <w:color w:val="000000"/>
              </w:rPr>
              <w:t>4</w:t>
            </w:r>
            <w:r w:rsidR="009B6465" w:rsidRPr="00C6247E">
              <w:rPr>
                <w:color w:val="000000"/>
              </w:rPr>
              <w:t xml:space="preserve"> </w:t>
            </w:r>
            <w:r w:rsidRPr="00C6247E">
              <w:rPr>
                <w:color w:val="000000"/>
              </w:rPr>
              <w:t>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3 325,00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3 325,00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371" w:rsidRPr="00C6247E" w:rsidRDefault="00151371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17 800,00</w:t>
            </w:r>
          </w:p>
        </w:tc>
      </w:tr>
      <w:tr w:rsidR="00556BF1" w:rsidRPr="00C6247E" w:rsidTr="00666754">
        <w:trPr>
          <w:trHeight w:val="3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BF1" w:rsidRPr="00C6247E" w:rsidRDefault="00556BF1" w:rsidP="002405A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202</w:t>
            </w:r>
            <w:r w:rsidR="00151371" w:rsidRPr="00C6247E">
              <w:rPr>
                <w:bCs w:val="0"/>
                <w:color w:val="000000"/>
                <w:kern w:val="0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BF1" w:rsidRPr="00C6247E" w:rsidRDefault="00E60F87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702</w:t>
            </w:r>
            <w:r w:rsidR="009B6465" w:rsidRPr="00C6247E">
              <w:rPr>
                <w:color w:val="000000"/>
              </w:rPr>
              <w:t xml:space="preserve"> </w:t>
            </w:r>
            <w:r w:rsidRPr="00C6247E">
              <w:rPr>
                <w:color w:val="000000"/>
              </w:rPr>
              <w:t>742,8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BF1" w:rsidRPr="00C6247E" w:rsidRDefault="00E60F87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BF1" w:rsidRPr="00C6247E" w:rsidRDefault="00556BF1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BF1" w:rsidRPr="00C6247E" w:rsidRDefault="00E60F87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702</w:t>
            </w:r>
            <w:r w:rsidR="009B6465" w:rsidRPr="00C6247E">
              <w:rPr>
                <w:color w:val="000000"/>
              </w:rPr>
              <w:t xml:space="preserve"> </w:t>
            </w:r>
            <w:r w:rsidRPr="00C6247E">
              <w:rPr>
                <w:color w:val="000000"/>
              </w:rPr>
              <w:t>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BF1" w:rsidRPr="00C6247E" w:rsidRDefault="00556BF1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BF1" w:rsidRPr="00C6247E" w:rsidRDefault="00E60F87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BF1" w:rsidRPr="00C6247E" w:rsidRDefault="00E60F87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BF1" w:rsidRPr="00C6247E" w:rsidRDefault="00556BF1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BF1" w:rsidRPr="00C6247E" w:rsidRDefault="00556BF1" w:rsidP="002405A1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BF1" w:rsidRPr="00C6247E" w:rsidRDefault="00E60F87" w:rsidP="002405A1">
            <w:pPr>
              <w:ind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19</w:t>
            </w:r>
            <w:r w:rsidR="009B6465" w:rsidRPr="00C6247E">
              <w:rPr>
                <w:color w:val="000000"/>
              </w:rPr>
              <w:t xml:space="preserve"> </w:t>
            </w:r>
            <w:r w:rsidRPr="00C6247E">
              <w:rPr>
                <w:color w:val="000000"/>
              </w:rPr>
              <w:t>200,0</w:t>
            </w:r>
          </w:p>
        </w:tc>
      </w:tr>
    </w:tbl>
    <w:p w:rsidR="004E752E" w:rsidRPr="00C6247E" w:rsidRDefault="004E752E" w:rsidP="004E752E">
      <w:pPr>
        <w:spacing w:line="240" w:lineRule="auto"/>
        <w:ind w:firstLine="540"/>
      </w:pPr>
      <w:r w:rsidRPr="00C6247E">
        <w:t xml:space="preserve">За 2021 год, площадь жилищного фонда Нижневартовского района увеличилась на 13 255,5 кв. м и на 01.01.2022 составила </w:t>
      </w:r>
      <w:r w:rsidRPr="00C6247E">
        <w:rPr>
          <w:bCs w:val="0"/>
          <w:color w:val="000000"/>
          <w:kern w:val="0"/>
        </w:rPr>
        <w:t>675 167,8</w:t>
      </w:r>
      <w:r w:rsidR="002405A1" w:rsidRPr="00C6247E">
        <w:rPr>
          <w:bCs w:val="0"/>
          <w:color w:val="000000"/>
          <w:kern w:val="0"/>
        </w:rPr>
        <w:t xml:space="preserve"> </w:t>
      </w:r>
      <w:proofErr w:type="spellStart"/>
      <w:r w:rsidRPr="00C6247E">
        <w:t>кв.м</w:t>
      </w:r>
      <w:proofErr w:type="spellEnd"/>
      <w:r w:rsidRPr="00C6247E">
        <w:t>.</w:t>
      </w:r>
    </w:p>
    <w:p w:rsidR="004E752E" w:rsidRPr="00C6247E" w:rsidRDefault="004E752E" w:rsidP="004E752E">
      <w:pPr>
        <w:spacing w:line="240" w:lineRule="auto"/>
        <w:ind w:firstLine="540"/>
      </w:pPr>
      <w:r w:rsidRPr="00C6247E">
        <w:t xml:space="preserve">В 2021 г. введено 15,2 тыс. кв. м жилья (3 многоквартирных дома площадью 3,0 </w:t>
      </w:r>
      <w:proofErr w:type="spellStart"/>
      <w:proofErr w:type="gramStart"/>
      <w:r w:rsidRPr="00C6247E">
        <w:t>кв.м</w:t>
      </w:r>
      <w:proofErr w:type="spellEnd"/>
      <w:r w:rsidRPr="00C6247E">
        <w:t xml:space="preserve"> )</w:t>
      </w:r>
      <w:proofErr w:type="gramEnd"/>
      <w:r w:rsidRPr="00C6247E">
        <w:t>, из которых ИЖС – 12,2 тыс. кв. м или 75% от площади введенного жилья. В расчете на душу населения ввод жилья в 2021 году составил 0,</w:t>
      </w:r>
      <w:r w:rsidR="006C1475" w:rsidRPr="00C6247E">
        <w:t>5</w:t>
      </w:r>
      <w:r w:rsidRPr="00C6247E">
        <w:t xml:space="preserve"> кв. м. </w:t>
      </w:r>
    </w:p>
    <w:p w:rsidR="004E752E" w:rsidRPr="00C6247E" w:rsidRDefault="004E752E" w:rsidP="004E752E">
      <w:pPr>
        <w:spacing w:line="240" w:lineRule="auto"/>
        <w:ind w:firstLine="500"/>
      </w:pPr>
      <w:r w:rsidRPr="00C6247E">
        <w:t xml:space="preserve">В 2021 году выбыло из общей площади 2,0 </w:t>
      </w:r>
      <w:proofErr w:type="spellStart"/>
      <w:r w:rsidRPr="00C6247E">
        <w:t>тыс</w:t>
      </w:r>
      <w:proofErr w:type="spellEnd"/>
      <w:r w:rsidRPr="00C6247E">
        <w:t xml:space="preserve"> кв. м. непригодных для проживания строений; на 01.01.2022 г. по предварительным данным, площадь непригодного жилья составила 6,9 тыс. кв. м, или 1,0% от общей площади жилищного фонда. </w:t>
      </w:r>
    </w:p>
    <w:p w:rsidR="00556BF1" w:rsidRPr="00C6247E" w:rsidRDefault="00556BF1" w:rsidP="00556BF1">
      <w:pPr>
        <w:spacing w:line="240" w:lineRule="auto"/>
        <w:ind w:firstLine="500"/>
      </w:pPr>
    </w:p>
    <w:p w:rsidR="00556BF1" w:rsidRPr="00C6247E" w:rsidRDefault="00556BF1" w:rsidP="00556BF1">
      <w:pPr>
        <w:spacing w:line="240" w:lineRule="auto"/>
        <w:ind w:firstLine="500"/>
      </w:pPr>
    </w:p>
    <w:p w:rsidR="00F54C85" w:rsidRPr="00C6247E" w:rsidRDefault="00F54C85">
      <w:pPr>
        <w:spacing w:after="200" w:line="276" w:lineRule="auto"/>
        <w:ind w:firstLine="0"/>
        <w:jc w:val="left"/>
        <w:outlineLvl w:val="9"/>
        <w:rPr>
          <w:bCs w:val="0"/>
          <w:color w:val="000000"/>
          <w:kern w:val="0"/>
          <w:sz w:val="28"/>
          <w:szCs w:val="28"/>
        </w:rPr>
      </w:pPr>
      <w:r w:rsidRPr="00C6247E">
        <w:rPr>
          <w:bCs w:val="0"/>
          <w:color w:val="000000"/>
          <w:kern w:val="0"/>
          <w:sz w:val="28"/>
          <w:szCs w:val="28"/>
        </w:rPr>
        <w:br w:type="page"/>
      </w:r>
    </w:p>
    <w:p w:rsidR="00556BF1" w:rsidRPr="00C6247E" w:rsidRDefault="00556BF1" w:rsidP="00556BF1">
      <w:pPr>
        <w:ind w:firstLine="0"/>
        <w:jc w:val="center"/>
        <w:rPr>
          <w:b/>
        </w:rPr>
      </w:pPr>
      <w:r w:rsidRPr="00C6247E">
        <w:rPr>
          <w:b/>
        </w:rPr>
        <w:lastRenderedPageBreak/>
        <w:t xml:space="preserve">                                                                      1.9. Охрана прав граждан и юридических лиц.</w:t>
      </w:r>
      <w:bookmarkStart w:id="120" w:name="_Toc417898120"/>
      <w:bookmarkStart w:id="121" w:name="_Toc418155111"/>
      <w:bookmarkStart w:id="122" w:name="_Toc449537927"/>
      <w:bookmarkEnd w:id="120"/>
      <w:bookmarkEnd w:id="121"/>
      <w:bookmarkEnd w:id="122"/>
      <w:r w:rsidRPr="00C6247E">
        <w:rPr>
          <w:b/>
        </w:rPr>
        <w:t xml:space="preserve">                                                             Таблица 2</w:t>
      </w:r>
    </w:p>
    <w:p w:rsidR="00556BF1" w:rsidRPr="00C6247E" w:rsidRDefault="00556BF1" w:rsidP="00556BF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  <w:bookmarkStart w:id="123" w:name="_Toc417898121"/>
      <w:bookmarkStart w:id="124" w:name="_Toc418155112"/>
      <w:bookmarkStart w:id="125" w:name="_Toc449537928"/>
      <w:r w:rsidRPr="00C6247E">
        <w:t>Количество допущенных нарушений прав граждан</w:t>
      </w:r>
      <w:bookmarkEnd w:id="123"/>
      <w:bookmarkEnd w:id="124"/>
      <w:bookmarkEnd w:id="125"/>
    </w:p>
    <w:p w:rsidR="00556BF1" w:rsidRPr="00C6247E" w:rsidRDefault="00556BF1" w:rsidP="00556BF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  <w:bookmarkStart w:id="126" w:name="_Toc417898122"/>
      <w:bookmarkStart w:id="127" w:name="_Toc418155113"/>
      <w:bookmarkStart w:id="128" w:name="_Toc449537929"/>
      <w:r w:rsidRPr="00C6247E">
        <w:t>и юридических лиц, подтвержденных судебными актами</w:t>
      </w:r>
      <w:bookmarkEnd w:id="126"/>
      <w:bookmarkEnd w:id="127"/>
      <w:bookmarkEnd w:id="128"/>
    </w:p>
    <w:p w:rsidR="00556BF1" w:rsidRPr="00C6247E" w:rsidRDefault="00556BF1" w:rsidP="00556BF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u w:val="single"/>
        </w:rPr>
      </w:pPr>
      <w:bookmarkStart w:id="129" w:name="_Toc417898123"/>
      <w:bookmarkStart w:id="130" w:name="_Toc418155114"/>
      <w:bookmarkStart w:id="131" w:name="_Toc449537930"/>
      <w:r w:rsidRPr="00C6247E">
        <w:rPr>
          <w:u w:val="single"/>
        </w:rPr>
        <w:t>_______________</w:t>
      </w:r>
      <w:r w:rsidRPr="00C6247E">
        <w:rPr>
          <w:b/>
          <w:u w:val="single"/>
        </w:rPr>
        <w:t>в Нижневартовском районе</w:t>
      </w:r>
      <w:r w:rsidRPr="00C6247E">
        <w:rPr>
          <w:u w:val="single"/>
        </w:rPr>
        <w:t>____________________</w:t>
      </w:r>
      <w:bookmarkEnd w:id="129"/>
      <w:bookmarkEnd w:id="130"/>
      <w:bookmarkEnd w:id="131"/>
    </w:p>
    <w:p w:rsidR="00556BF1" w:rsidRPr="00C6247E" w:rsidRDefault="00556BF1" w:rsidP="00556BF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  <w:bookmarkStart w:id="132" w:name="_Toc417898124"/>
      <w:bookmarkStart w:id="133" w:name="_Toc418155115"/>
      <w:bookmarkStart w:id="134" w:name="_Toc449537931"/>
      <w:r w:rsidRPr="00C6247E">
        <w:t>наименование городского округа (муниципального района)</w:t>
      </w:r>
      <w:bookmarkEnd w:id="132"/>
      <w:bookmarkEnd w:id="133"/>
      <w:bookmarkEnd w:id="134"/>
    </w:p>
    <w:p w:rsidR="00556BF1" w:rsidRPr="00C6247E" w:rsidRDefault="00556BF1" w:rsidP="00556BF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</w:p>
    <w:tbl>
      <w:tblPr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2"/>
        <w:gridCol w:w="604"/>
        <w:gridCol w:w="483"/>
        <w:gridCol w:w="454"/>
        <w:gridCol w:w="539"/>
        <w:gridCol w:w="397"/>
        <w:gridCol w:w="525"/>
        <w:gridCol w:w="454"/>
        <w:gridCol w:w="525"/>
        <w:gridCol w:w="454"/>
        <w:gridCol w:w="526"/>
        <w:gridCol w:w="454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56BF1" w:rsidRPr="00C6247E" w:rsidTr="00666754">
        <w:tc>
          <w:tcPr>
            <w:tcW w:w="2152" w:type="dxa"/>
            <w:vMerge w:val="restart"/>
            <w:vAlign w:val="center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3002" w:type="dxa"/>
            <w:gridSpan w:val="6"/>
            <w:vMerge w:val="restart"/>
            <w:vAlign w:val="center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9251" w:type="dxa"/>
            <w:gridSpan w:val="18"/>
            <w:vAlign w:val="center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из них судами исковые требования:</w:t>
            </w:r>
          </w:p>
        </w:tc>
      </w:tr>
      <w:tr w:rsidR="00556BF1" w:rsidRPr="00C6247E" w:rsidTr="00666754">
        <w:tc>
          <w:tcPr>
            <w:tcW w:w="2152" w:type="dxa"/>
            <w:vMerge/>
          </w:tcPr>
          <w:p w:rsidR="00556BF1" w:rsidRPr="00C6247E" w:rsidRDefault="00556BF1" w:rsidP="00666754">
            <w:pPr>
              <w:ind w:firstLine="0"/>
            </w:pPr>
          </w:p>
        </w:tc>
        <w:tc>
          <w:tcPr>
            <w:tcW w:w="3002" w:type="dxa"/>
            <w:gridSpan w:val="6"/>
            <w:vMerge/>
          </w:tcPr>
          <w:p w:rsidR="00556BF1" w:rsidRPr="00C6247E" w:rsidRDefault="00556BF1" w:rsidP="00666754">
            <w:pPr>
              <w:ind w:firstLine="0"/>
            </w:pPr>
          </w:p>
        </w:tc>
        <w:tc>
          <w:tcPr>
            <w:tcW w:w="2939" w:type="dxa"/>
            <w:gridSpan w:val="6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удовлетворены частично</w:t>
            </w:r>
          </w:p>
        </w:tc>
        <w:tc>
          <w:tcPr>
            <w:tcW w:w="3156" w:type="dxa"/>
            <w:gridSpan w:val="6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удовлетворены полностью</w:t>
            </w:r>
          </w:p>
        </w:tc>
        <w:tc>
          <w:tcPr>
            <w:tcW w:w="3156" w:type="dxa"/>
            <w:gridSpan w:val="6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отказано в удовлетворении</w:t>
            </w:r>
          </w:p>
        </w:tc>
      </w:tr>
      <w:tr w:rsidR="00963ACB" w:rsidRPr="00C6247E" w:rsidTr="00666754">
        <w:tc>
          <w:tcPr>
            <w:tcW w:w="2152" w:type="dxa"/>
            <w:vMerge/>
          </w:tcPr>
          <w:p w:rsidR="00963ACB" w:rsidRPr="00C6247E" w:rsidRDefault="00963ACB" w:rsidP="00963ACB">
            <w:pPr>
              <w:ind w:firstLine="0"/>
            </w:pPr>
          </w:p>
        </w:tc>
        <w:tc>
          <w:tcPr>
            <w:tcW w:w="1087" w:type="dxa"/>
            <w:gridSpan w:val="2"/>
          </w:tcPr>
          <w:p w:rsidR="00963ACB" w:rsidRPr="00C6247E" w:rsidRDefault="00963ACB" w:rsidP="0096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gridSpan w:val="2"/>
          </w:tcPr>
          <w:p w:rsidR="00963ACB" w:rsidRPr="00C6247E" w:rsidRDefault="00963ACB" w:rsidP="0096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2" w:type="dxa"/>
            <w:gridSpan w:val="2"/>
          </w:tcPr>
          <w:p w:rsidR="00963ACB" w:rsidRPr="00C6247E" w:rsidRDefault="00963ACB" w:rsidP="0096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79" w:type="dxa"/>
            <w:gridSpan w:val="2"/>
          </w:tcPr>
          <w:p w:rsidR="00963ACB" w:rsidRPr="00C6247E" w:rsidRDefault="00963ACB" w:rsidP="0096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0" w:type="dxa"/>
            <w:gridSpan w:val="2"/>
          </w:tcPr>
          <w:p w:rsidR="00963ACB" w:rsidRPr="00C6247E" w:rsidRDefault="00963ACB" w:rsidP="0096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0" w:type="dxa"/>
            <w:gridSpan w:val="2"/>
          </w:tcPr>
          <w:p w:rsidR="00963ACB" w:rsidRPr="00C6247E" w:rsidRDefault="00963ACB" w:rsidP="0096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2" w:type="dxa"/>
            <w:gridSpan w:val="2"/>
          </w:tcPr>
          <w:p w:rsidR="00963ACB" w:rsidRPr="00C6247E" w:rsidRDefault="00963ACB" w:rsidP="0096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52" w:type="dxa"/>
            <w:gridSpan w:val="2"/>
          </w:tcPr>
          <w:p w:rsidR="00963ACB" w:rsidRPr="00C6247E" w:rsidRDefault="00963ACB" w:rsidP="0096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  <w:gridSpan w:val="2"/>
          </w:tcPr>
          <w:p w:rsidR="00963ACB" w:rsidRPr="00C6247E" w:rsidRDefault="00963ACB" w:rsidP="0096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2" w:type="dxa"/>
            <w:gridSpan w:val="2"/>
          </w:tcPr>
          <w:p w:rsidR="00963ACB" w:rsidRPr="00C6247E" w:rsidRDefault="00963ACB" w:rsidP="0096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52" w:type="dxa"/>
            <w:gridSpan w:val="2"/>
          </w:tcPr>
          <w:p w:rsidR="00963ACB" w:rsidRPr="00C6247E" w:rsidRDefault="00963ACB" w:rsidP="0096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2" w:type="dxa"/>
            <w:gridSpan w:val="2"/>
          </w:tcPr>
          <w:p w:rsidR="00963ACB" w:rsidRPr="00C6247E" w:rsidRDefault="00963ACB" w:rsidP="00963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56BF1" w:rsidRPr="00C6247E" w:rsidTr="00666754">
        <w:tc>
          <w:tcPr>
            <w:tcW w:w="2152" w:type="dxa"/>
            <w:vMerge/>
          </w:tcPr>
          <w:p w:rsidR="00556BF1" w:rsidRPr="00C6247E" w:rsidRDefault="00556BF1" w:rsidP="00666754">
            <w:pPr>
              <w:ind w:firstLine="0"/>
            </w:pPr>
          </w:p>
        </w:tc>
        <w:tc>
          <w:tcPr>
            <w:tcW w:w="604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83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39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97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5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5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BD5F44" w:rsidRPr="00C6247E" w:rsidTr="00666754">
        <w:tc>
          <w:tcPr>
            <w:tcW w:w="2152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направлениям:</w:t>
            </w:r>
          </w:p>
        </w:tc>
        <w:tc>
          <w:tcPr>
            <w:tcW w:w="60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5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6BF1" w:rsidRPr="00C6247E" w:rsidTr="00666754">
        <w:tc>
          <w:tcPr>
            <w:tcW w:w="2152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60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F1" w:rsidRPr="00C6247E" w:rsidTr="00666754">
        <w:tc>
          <w:tcPr>
            <w:tcW w:w="2152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жилищно-коммунальный комплекс</w:t>
            </w:r>
          </w:p>
        </w:tc>
        <w:tc>
          <w:tcPr>
            <w:tcW w:w="60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F1" w:rsidRPr="00C6247E" w:rsidTr="00666754">
        <w:tc>
          <w:tcPr>
            <w:tcW w:w="2152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60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BF1" w:rsidRPr="00C6247E" w:rsidTr="00666754">
        <w:tc>
          <w:tcPr>
            <w:tcW w:w="2152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60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F1" w:rsidRPr="00C6247E" w:rsidTr="00666754">
        <w:tc>
          <w:tcPr>
            <w:tcW w:w="2152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556BF1" w:rsidRPr="00C6247E" w:rsidRDefault="00556BF1" w:rsidP="006667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44" w:rsidRPr="00C6247E" w:rsidTr="00666754">
        <w:tc>
          <w:tcPr>
            <w:tcW w:w="2152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о признании правового акта незаконным и подлежащим отмене</w:t>
            </w:r>
          </w:p>
        </w:tc>
        <w:tc>
          <w:tcPr>
            <w:tcW w:w="60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86506E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44" w:rsidRPr="00C6247E" w:rsidTr="00666754">
        <w:tc>
          <w:tcPr>
            <w:tcW w:w="2152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незаконным бездействия органов местного самоуправления</w:t>
            </w:r>
          </w:p>
        </w:tc>
        <w:tc>
          <w:tcPr>
            <w:tcW w:w="60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86506E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BD5F44" w:rsidRPr="00C6247E" w:rsidRDefault="00BD5F44" w:rsidP="00BD5F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5D" w:rsidRPr="00C6247E" w:rsidTr="00666754">
        <w:tc>
          <w:tcPr>
            <w:tcW w:w="2152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о признании незаконным решения органа местного самоуправления</w:t>
            </w:r>
          </w:p>
        </w:tc>
        <w:tc>
          <w:tcPr>
            <w:tcW w:w="604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44B5D" w:rsidRPr="00C6247E" w:rsidRDefault="00044B5D" w:rsidP="00044B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44B5D" w:rsidRPr="00C6247E" w:rsidRDefault="00044B5D" w:rsidP="00044B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044B5D" w:rsidRPr="00C6247E" w:rsidRDefault="00044B5D" w:rsidP="0004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BF1" w:rsidRPr="00C6247E" w:rsidRDefault="00556BF1" w:rsidP="00556BF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</w:p>
    <w:p w:rsidR="00556BF1" w:rsidRPr="00C6247E" w:rsidRDefault="00556BF1" w:rsidP="00556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6BF1" w:rsidRPr="00C6247E" w:rsidRDefault="00556BF1" w:rsidP="00556B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47E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C6247E">
        <w:rPr>
          <w:rFonts w:ascii="Times New Roman" w:hAnsi="Times New Roman" w:cs="Times New Roman"/>
          <w:sz w:val="24"/>
          <w:szCs w:val="24"/>
        </w:rPr>
        <w:t>: количество дел, находящихся в производстве на конец отчетного года, в том числе: юридические лица, физические лица.</w:t>
      </w:r>
    </w:p>
    <w:p w:rsidR="00556BF1" w:rsidRPr="00C6247E" w:rsidRDefault="00556BF1" w:rsidP="00556B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110C" w:rsidRPr="00C6247E" w:rsidRDefault="003A110C" w:rsidP="00591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47E">
        <w:rPr>
          <w:rFonts w:ascii="Times New Roman" w:hAnsi="Times New Roman" w:cs="Times New Roman"/>
          <w:sz w:val="24"/>
          <w:szCs w:val="24"/>
        </w:rPr>
        <w:t>В 2021 году поступило 2 заявления о признании незаконным решения</w:t>
      </w:r>
      <w:r w:rsidR="00591954" w:rsidRPr="00C6247E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 </w:t>
      </w:r>
      <w:r w:rsidRPr="00C6247E">
        <w:rPr>
          <w:rFonts w:ascii="Times New Roman" w:hAnsi="Times New Roman" w:cs="Times New Roman"/>
          <w:sz w:val="24"/>
          <w:szCs w:val="24"/>
        </w:rPr>
        <w:t>вступило в законную силу 1 решение суда о признании незаконным решения органа местного самоуправления, по 1 обращению судом отказано в удовлетворении.</w:t>
      </w:r>
    </w:p>
    <w:p w:rsidR="00C91A2F" w:rsidRPr="00C6247E" w:rsidRDefault="00C91A2F">
      <w:pPr>
        <w:spacing w:after="200" w:line="276" w:lineRule="auto"/>
        <w:ind w:firstLine="0"/>
        <w:jc w:val="left"/>
        <w:outlineLvl w:val="9"/>
      </w:pPr>
      <w:r w:rsidRPr="00C6247E">
        <w:br w:type="page"/>
      </w:r>
    </w:p>
    <w:p w:rsidR="00556BF1" w:rsidRPr="00C6247E" w:rsidRDefault="00556BF1" w:rsidP="00556BF1">
      <w:pPr>
        <w:spacing w:line="240" w:lineRule="auto"/>
        <w:ind w:firstLine="12430"/>
      </w:pPr>
      <w:bookmarkStart w:id="135" w:name="_Toc292291315"/>
      <w:bookmarkStart w:id="136" w:name="_Toc355022361"/>
      <w:r w:rsidRPr="00C6247E">
        <w:lastRenderedPageBreak/>
        <w:t>Таблица 3</w:t>
      </w:r>
    </w:p>
    <w:p w:rsidR="00556BF1" w:rsidRPr="00C6247E" w:rsidRDefault="00556BF1" w:rsidP="00556BF1">
      <w:pPr>
        <w:spacing w:line="240" w:lineRule="auto"/>
        <w:ind w:firstLine="0"/>
        <w:jc w:val="center"/>
        <w:outlineLvl w:val="9"/>
        <w:rPr>
          <w:b/>
          <w:bCs w:val="0"/>
          <w:color w:val="000000"/>
          <w:kern w:val="0"/>
        </w:rPr>
      </w:pPr>
      <w:r w:rsidRPr="00C6247E">
        <w:rPr>
          <w:b/>
          <w:bCs w:val="0"/>
          <w:color w:val="000000"/>
          <w:kern w:val="0"/>
        </w:rPr>
        <w:t xml:space="preserve">1.10. Состояние платежной дисциплины и инвестиционной политики в жилищно-коммунальном комплексе </w:t>
      </w:r>
    </w:p>
    <w:p w:rsidR="00556BF1" w:rsidRPr="00C6247E" w:rsidRDefault="00556BF1" w:rsidP="00556BF1">
      <w:pPr>
        <w:spacing w:line="240" w:lineRule="auto"/>
        <w:ind w:firstLine="0"/>
        <w:jc w:val="center"/>
        <w:outlineLvl w:val="9"/>
        <w:rPr>
          <w:b/>
          <w:bCs w:val="0"/>
          <w:color w:val="000000"/>
          <w:kern w:val="0"/>
        </w:rPr>
      </w:pPr>
      <w:r w:rsidRPr="00C6247E">
        <w:rPr>
          <w:b/>
          <w:bCs w:val="0"/>
          <w:color w:val="000000"/>
          <w:kern w:val="0"/>
          <w:u w:val="single"/>
        </w:rPr>
        <w:t>Нижневартовский район</w:t>
      </w:r>
      <w:r w:rsidRPr="00C6247E">
        <w:rPr>
          <w:b/>
          <w:bCs w:val="0"/>
          <w:color w:val="000000"/>
          <w:kern w:val="0"/>
        </w:rPr>
        <w:t xml:space="preserve"> </w:t>
      </w:r>
    </w:p>
    <w:p w:rsidR="00556BF1" w:rsidRPr="00C6247E" w:rsidRDefault="00556BF1" w:rsidP="00556BF1">
      <w:pPr>
        <w:spacing w:line="240" w:lineRule="auto"/>
        <w:ind w:firstLine="0"/>
        <w:jc w:val="center"/>
        <w:outlineLvl w:val="9"/>
        <w:rPr>
          <w:b/>
          <w:bCs w:val="0"/>
          <w:color w:val="000000"/>
          <w:kern w:val="0"/>
          <w:sz w:val="20"/>
        </w:rPr>
      </w:pPr>
      <w:r w:rsidRPr="00C6247E">
        <w:rPr>
          <w:b/>
          <w:bCs w:val="0"/>
          <w:color w:val="000000"/>
          <w:kern w:val="0"/>
          <w:sz w:val="20"/>
        </w:rPr>
        <w:t>наименование городского округа (муниципального района)</w:t>
      </w:r>
    </w:p>
    <w:p w:rsidR="00556BF1" w:rsidRPr="00C6247E" w:rsidRDefault="00556BF1" w:rsidP="00556BF1">
      <w:pPr>
        <w:spacing w:line="240" w:lineRule="auto"/>
        <w:ind w:firstLine="0"/>
        <w:jc w:val="center"/>
        <w:outlineLvl w:val="9"/>
        <w:rPr>
          <w:b/>
          <w:bCs w:val="0"/>
          <w:color w:val="000000"/>
          <w:kern w:val="0"/>
        </w:rPr>
      </w:pPr>
    </w:p>
    <w:tbl>
      <w:tblPr>
        <w:tblW w:w="15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5"/>
        <w:gridCol w:w="1418"/>
        <w:gridCol w:w="1333"/>
        <w:gridCol w:w="1359"/>
        <w:gridCol w:w="1263"/>
        <w:gridCol w:w="1273"/>
        <w:gridCol w:w="1050"/>
        <w:gridCol w:w="966"/>
        <w:gridCol w:w="1022"/>
      </w:tblGrid>
      <w:tr w:rsidR="00BA6AC2" w:rsidRPr="00C6247E" w:rsidTr="00C6247E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:rsidR="00BA6AC2" w:rsidRPr="00C6247E" w:rsidRDefault="00BA6AC2" w:rsidP="00BA6AC2">
            <w:pPr>
              <w:spacing w:line="240" w:lineRule="auto"/>
              <w:ind w:firstLine="0"/>
              <w:jc w:val="center"/>
              <w:outlineLvl w:val="9"/>
              <w:rPr>
                <w:b/>
                <w:bCs w:val="0"/>
                <w:color w:val="000000"/>
                <w:kern w:val="0"/>
              </w:rPr>
            </w:pPr>
            <w:r w:rsidRPr="00C6247E">
              <w:rPr>
                <w:b/>
                <w:bCs w:val="0"/>
                <w:color w:val="000000"/>
                <w:kern w:val="0"/>
              </w:rPr>
              <w:t>№ п/п</w:t>
            </w:r>
          </w:p>
        </w:tc>
        <w:tc>
          <w:tcPr>
            <w:tcW w:w="5415" w:type="dxa"/>
            <w:shd w:val="clear" w:color="auto" w:fill="auto"/>
            <w:noWrap/>
            <w:vAlign w:val="center"/>
            <w:hideMark/>
          </w:tcPr>
          <w:p w:rsidR="00BA6AC2" w:rsidRPr="00C6247E" w:rsidRDefault="00BA6AC2" w:rsidP="00BA6AC2">
            <w:pPr>
              <w:spacing w:line="240" w:lineRule="auto"/>
              <w:ind w:firstLine="0"/>
              <w:jc w:val="center"/>
              <w:outlineLvl w:val="9"/>
              <w:rPr>
                <w:b/>
                <w:bCs w:val="0"/>
                <w:color w:val="000000"/>
                <w:kern w:val="0"/>
              </w:rPr>
            </w:pPr>
            <w:r w:rsidRPr="00C6247E">
              <w:rPr>
                <w:b/>
                <w:bCs w:val="0"/>
                <w:color w:val="000000"/>
                <w:kern w:val="0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6AC2" w:rsidRPr="00C6247E" w:rsidRDefault="00BA6AC2" w:rsidP="00C6247E">
            <w:pPr>
              <w:spacing w:line="240" w:lineRule="auto"/>
              <w:ind w:left="-108" w:firstLine="0"/>
              <w:jc w:val="center"/>
              <w:outlineLvl w:val="9"/>
              <w:rPr>
                <w:b/>
                <w:bCs w:val="0"/>
                <w:color w:val="000000"/>
                <w:kern w:val="0"/>
              </w:rPr>
            </w:pPr>
            <w:r w:rsidRPr="00C6247E">
              <w:rPr>
                <w:b/>
                <w:bCs w:val="0"/>
                <w:color w:val="000000"/>
                <w:kern w:val="0"/>
              </w:rPr>
              <w:t>Единица измерения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BA6AC2" w:rsidRPr="00C6247E" w:rsidRDefault="00BA6AC2" w:rsidP="00BA6AC2">
            <w:pPr>
              <w:spacing w:line="240" w:lineRule="auto"/>
              <w:ind w:firstLine="0"/>
              <w:jc w:val="center"/>
              <w:outlineLvl w:val="9"/>
              <w:rPr>
                <w:b/>
                <w:bCs w:val="0"/>
                <w:color w:val="000000"/>
                <w:kern w:val="0"/>
              </w:rPr>
            </w:pPr>
            <w:r w:rsidRPr="00C6247E">
              <w:rPr>
                <w:b/>
                <w:bCs w:val="0"/>
                <w:color w:val="000000"/>
                <w:kern w:val="0"/>
              </w:rPr>
              <w:t>2018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BA6AC2" w:rsidRPr="00C6247E" w:rsidRDefault="00BA6AC2" w:rsidP="00BA6AC2">
            <w:pPr>
              <w:spacing w:line="240" w:lineRule="auto"/>
              <w:ind w:firstLine="0"/>
              <w:jc w:val="center"/>
              <w:outlineLvl w:val="9"/>
              <w:rPr>
                <w:b/>
                <w:bCs w:val="0"/>
                <w:color w:val="000000"/>
                <w:kern w:val="0"/>
              </w:rPr>
            </w:pPr>
            <w:r w:rsidRPr="00C6247E">
              <w:rPr>
                <w:b/>
                <w:bCs w:val="0"/>
                <w:color w:val="000000"/>
                <w:kern w:val="0"/>
              </w:rPr>
              <w:t>2019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BA6AC2" w:rsidRPr="00C6247E" w:rsidRDefault="00BA6AC2" w:rsidP="00BA6AC2">
            <w:pPr>
              <w:spacing w:line="240" w:lineRule="auto"/>
              <w:ind w:firstLine="0"/>
              <w:jc w:val="center"/>
              <w:outlineLvl w:val="9"/>
              <w:rPr>
                <w:b/>
                <w:bCs w:val="0"/>
                <w:color w:val="000000"/>
                <w:kern w:val="0"/>
              </w:rPr>
            </w:pPr>
            <w:r w:rsidRPr="00C6247E">
              <w:rPr>
                <w:b/>
                <w:bCs w:val="0"/>
                <w:color w:val="000000"/>
                <w:kern w:val="0"/>
              </w:rPr>
              <w:t>2020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A6AC2" w:rsidRPr="00C6247E" w:rsidRDefault="00BA6AC2" w:rsidP="00BA6AC2">
            <w:pPr>
              <w:spacing w:line="240" w:lineRule="auto"/>
              <w:ind w:firstLine="0"/>
              <w:jc w:val="center"/>
              <w:outlineLvl w:val="9"/>
              <w:rPr>
                <w:b/>
                <w:bCs w:val="0"/>
                <w:color w:val="000000"/>
                <w:kern w:val="0"/>
              </w:rPr>
            </w:pPr>
            <w:r w:rsidRPr="00C6247E">
              <w:rPr>
                <w:b/>
                <w:bCs w:val="0"/>
                <w:color w:val="000000"/>
                <w:kern w:val="0"/>
              </w:rPr>
              <w:t>2021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BA6AC2" w:rsidRPr="00C6247E" w:rsidRDefault="00BA6AC2" w:rsidP="00BA6AC2">
            <w:pPr>
              <w:spacing w:line="240" w:lineRule="auto"/>
              <w:ind w:firstLine="0"/>
              <w:jc w:val="center"/>
              <w:outlineLvl w:val="9"/>
              <w:rPr>
                <w:b/>
                <w:bCs w:val="0"/>
                <w:color w:val="000000"/>
                <w:kern w:val="0"/>
              </w:rPr>
            </w:pPr>
            <w:r w:rsidRPr="00C6247E">
              <w:rPr>
                <w:b/>
                <w:bCs w:val="0"/>
                <w:color w:val="000000"/>
                <w:kern w:val="0"/>
              </w:rPr>
              <w:t>2022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BA6AC2" w:rsidRPr="00C6247E" w:rsidRDefault="00BA6AC2" w:rsidP="00BA6AC2">
            <w:pPr>
              <w:spacing w:line="240" w:lineRule="auto"/>
              <w:ind w:firstLine="0"/>
              <w:jc w:val="center"/>
              <w:outlineLvl w:val="9"/>
              <w:rPr>
                <w:b/>
                <w:bCs w:val="0"/>
                <w:color w:val="000000"/>
                <w:kern w:val="0"/>
              </w:rPr>
            </w:pPr>
            <w:r w:rsidRPr="00C6247E">
              <w:rPr>
                <w:b/>
                <w:bCs w:val="0"/>
                <w:color w:val="000000"/>
                <w:kern w:val="0"/>
              </w:rPr>
              <w:t>2023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BA6AC2" w:rsidRPr="00C6247E" w:rsidRDefault="00BA6AC2" w:rsidP="00BA6AC2">
            <w:pPr>
              <w:spacing w:line="240" w:lineRule="auto"/>
              <w:ind w:firstLine="0"/>
              <w:jc w:val="center"/>
              <w:outlineLvl w:val="9"/>
              <w:rPr>
                <w:b/>
                <w:bCs w:val="0"/>
                <w:color w:val="000000"/>
                <w:kern w:val="0"/>
              </w:rPr>
            </w:pPr>
            <w:r w:rsidRPr="00C6247E">
              <w:rPr>
                <w:b/>
                <w:bCs w:val="0"/>
                <w:color w:val="000000"/>
                <w:kern w:val="0"/>
              </w:rPr>
              <w:t>2024</w:t>
            </w:r>
          </w:p>
        </w:tc>
      </w:tr>
      <w:tr w:rsidR="00556BF1" w:rsidRPr="00C6247E" w:rsidTr="00C6247E">
        <w:trPr>
          <w:trHeight w:val="2126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1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556BF1" w:rsidRPr="00C6247E" w:rsidRDefault="00556BF1" w:rsidP="00C6247E">
            <w:pPr>
              <w:spacing w:line="240" w:lineRule="auto"/>
              <w:ind w:firstLine="0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6BF1" w:rsidRPr="00C6247E" w:rsidRDefault="00556BF1" w:rsidP="00C6247E">
            <w:pPr>
              <w:spacing w:line="240" w:lineRule="auto"/>
              <w:ind w:left="-108"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процентов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556BF1" w:rsidRPr="00C6247E" w:rsidRDefault="00BA6AC2" w:rsidP="00666754">
            <w:pPr>
              <w:ind w:firstLine="456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556BF1" w:rsidRPr="00C6247E" w:rsidRDefault="00556BF1" w:rsidP="00666754">
            <w:pPr>
              <w:ind w:firstLine="456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556BF1" w:rsidRPr="00C6247E" w:rsidRDefault="00556BF1" w:rsidP="00666754">
            <w:pPr>
              <w:ind w:firstLine="456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556BF1" w:rsidRPr="00C6247E" w:rsidRDefault="00556BF1" w:rsidP="00666754">
            <w:pPr>
              <w:ind w:firstLine="456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556BF1" w:rsidRPr="00C6247E" w:rsidRDefault="00556BF1" w:rsidP="00666754">
            <w:pPr>
              <w:ind w:firstLine="456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556BF1" w:rsidRPr="00C6247E" w:rsidRDefault="00556BF1" w:rsidP="00666754">
            <w:pPr>
              <w:ind w:firstLine="456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4A38CC" w:rsidRPr="00C6247E" w:rsidRDefault="00556BF1" w:rsidP="00C6247E">
            <w:pPr>
              <w:ind w:firstLine="456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0</w:t>
            </w:r>
          </w:p>
        </w:tc>
      </w:tr>
      <w:tr w:rsidR="001554F1" w:rsidRPr="00C6247E" w:rsidTr="00C6247E">
        <w:trPr>
          <w:trHeight w:val="94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554F1" w:rsidRPr="00C6247E" w:rsidRDefault="001554F1" w:rsidP="001554F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2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1554F1" w:rsidRPr="00C6247E" w:rsidRDefault="001554F1" w:rsidP="00C6247E">
            <w:pPr>
              <w:spacing w:line="240" w:lineRule="auto"/>
              <w:ind w:firstLine="0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Фактический уровень собираемости взносов на капитальный ремонт общего имущества многоквартирных домов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54F1" w:rsidRPr="00C6247E" w:rsidRDefault="001554F1" w:rsidP="00C6247E">
            <w:pPr>
              <w:spacing w:line="240" w:lineRule="auto"/>
              <w:ind w:left="-108"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процентов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1554F1" w:rsidRPr="00C6247E" w:rsidRDefault="001554F1" w:rsidP="001554F1">
            <w:pPr>
              <w:ind w:firstLine="456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87,6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1554F1" w:rsidRPr="00C6247E" w:rsidRDefault="001554F1" w:rsidP="001554F1">
            <w:pPr>
              <w:ind w:firstLine="456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105,3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1554F1" w:rsidRPr="00C6247E" w:rsidRDefault="001554F1" w:rsidP="001554F1">
            <w:pPr>
              <w:ind w:firstLine="175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100,0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1554F1" w:rsidRPr="00C6247E" w:rsidRDefault="001554F1" w:rsidP="001554F1">
            <w:pPr>
              <w:ind w:firstLine="33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104,2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1554F1" w:rsidRPr="00C6247E" w:rsidRDefault="001554F1" w:rsidP="001554F1">
            <w:pPr>
              <w:tabs>
                <w:tab w:val="left" w:pos="175"/>
              </w:tabs>
              <w:ind w:firstLine="33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554F1" w:rsidRPr="00C6247E" w:rsidRDefault="001554F1" w:rsidP="001554F1">
            <w:pPr>
              <w:tabs>
                <w:tab w:val="left" w:pos="175"/>
              </w:tabs>
              <w:ind w:firstLine="33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100,0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1554F1" w:rsidRPr="00C6247E" w:rsidRDefault="001554F1" w:rsidP="001554F1">
            <w:pPr>
              <w:tabs>
                <w:tab w:val="left" w:pos="175"/>
              </w:tabs>
              <w:ind w:firstLine="33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100,0</w:t>
            </w:r>
          </w:p>
        </w:tc>
      </w:tr>
      <w:tr w:rsidR="00556BF1" w:rsidRPr="00C6247E" w:rsidTr="00C6247E">
        <w:trPr>
          <w:trHeight w:val="14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6BF1" w:rsidRPr="00C6247E" w:rsidRDefault="00556BF1" w:rsidP="00666754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3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556BF1" w:rsidRPr="00C6247E" w:rsidRDefault="00556BF1" w:rsidP="00C6247E">
            <w:pPr>
              <w:spacing w:line="240" w:lineRule="auto"/>
              <w:ind w:firstLine="0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56BF1" w:rsidRPr="00C6247E" w:rsidRDefault="00556BF1" w:rsidP="00C6247E">
            <w:pPr>
              <w:spacing w:line="240" w:lineRule="auto"/>
              <w:ind w:left="-108"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в наличии/в разработке/ отсутствуют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556BF1" w:rsidRPr="00C6247E" w:rsidRDefault="00556BF1" w:rsidP="00C6247E">
            <w:pPr>
              <w:ind w:left="-115"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в разработке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556BF1" w:rsidRPr="00C6247E" w:rsidRDefault="00556BF1" w:rsidP="00C6247E">
            <w:pPr>
              <w:ind w:left="-115"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в разработке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556BF1" w:rsidRPr="00C6247E" w:rsidRDefault="00556BF1" w:rsidP="00C6247E">
            <w:pPr>
              <w:ind w:left="-115"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в разработке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556BF1" w:rsidRPr="00C6247E" w:rsidRDefault="00556BF1" w:rsidP="00C6247E">
            <w:pPr>
              <w:ind w:left="-115"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в разработке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56BF1" w:rsidRPr="00C6247E" w:rsidRDefault="00556BF1" w:rsidP="00C6247E">
            <w:pPr>
              <w:ind w:left="-115"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в наличии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556BF1" w:rsidRPr="00C6247E" w:rsidRDefault="00556BF1" w:rsidP="00C6247E">
            <w:pPr>
              <w:ind w:left="-115"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в наличии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556BF1" w:rsidRPr="00C6247E" w:rsidRDefault="00556BF1" w:rsidP="00C6247E">
            <w:pPr>
              <w:ind w:left="-115" w:firstLine="0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в наличии</w:t>
            </w:r>
          </w:p>
        </w:tc>
      </w:tr>
      <w:tr w:rsidR="001554F1" w:rsidRPr="00C6247E" w:rsidTr="00C6247E">
        <w:trPr>
          <w:trHeight w:val="978"/>
        </w:trPr>
        <w:tc>
          <w:tcPr>
            <w:tcW w:w="540" w:type="dxa"/>
            <w:shd w:val="clear" w:color="auto" w:fill="auto"/>
            <w:noWrap/>
            <w:vAlign w:val="center"/>
          </w:tcPr>
          <w:p w:rsidR="001554F1" w:rsidRPr="00C6247E" w:rsidRDefault="001554F1" w:rsidP="001554F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4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1554F1" w:rsidRPr="00C6247E" w:rsidRDefault="001554F1" w:rsidP="00C6247E">
            <w:pPr>
              <w:spacing w:line="240" w:lineRule="auto"/>
              <w:ind w:firstLine="0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 xml:space="preserve">Фактический уровень собираемости платы граждан за предоставленные жилищно-коммунальные услуги за отчетный период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54F1" w:rsidRPr="00C6247E" w:rsidRDefault="001554F1" w:rsidP="00C6247E">
            <w:pPr>
              <w:spacing w:line="240" w:lineRule="auto"/>
              <w:ind w:left="-108" w:firstLine="0"/>
              <w:jc w:val="center"/>
              <w:outlineLvl w:val="9"/>
              <w:rPr>
                <w:bCs w:val="0"/>
                <w:color w:val="000000"/>
                <w:kern w:val="0"/>
              </w:rPr>
            </w:pPr>
            <w:r w:rsidRPr="00C6247E">
              <w:rPr>
                <w:bCs w:val="0"/>
                <w:color w:val="000000"/>
                <w:kern w:val="0"/>
              </w:rPr>
              <w:t>процентов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1554F1" w:rsidRPr="00C6247E" w:rsidRDefault="001554F1" w:rsidP="001554F1">
            <w:pPr>
              <w:ind w:firstLine="31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97,1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554F1" w:rsidRPr="00C6247E" w:rsidRDefault="001554F1" w:rsidP="001554F1">
            <w:pPr>
              <w:ind w:firstLine="31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99,7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554F1" w:rsidRPr="00C6247E" w:rsidRDefault="001554F1" w:rsidP="001554F1">
            <w:pPr>
              <w:ind w:firstLine="31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99,7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554F1" w:rsidRPr="00C6247E" w:rsidRDefault="001554F1" w:rsidP="001554F1">
            <w:pPr>
              <w:ind w:firstLine="31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99,7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554F1" w:rsidRPr="00C6247E" w:rsidRDefault="001554F1" w:rsidP="001554F1">
            <w:pPr>
              <w:ind w:firstLine="31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100,0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554F1" w:rsidRPr="00C6247E" w:rsidRDefault="001554F1" w:rsidP="001554F1">
            <w:pPr>
              <w:ind w:firstLine="31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100,0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554F1" w:rsidRPr="00C6247E" w:rsidRDefault="001554F1" w:rsidP="001554F1">
            <w:pPr>
              <w:ind w:firstLine="31"/>
              <w:jc w:val="center"/>
              <w:rPr>
                <w:color w:val="000000"/>
              </w:rPr>
            </w:pPr>
            <w:r w:rsidRPr="00C6247E">
              <w:rPr>
                <w:color w:val="000000"/>
              </w:rPr>
              <w:t>100,0</w:t>
            </w:r>
          </w:p>
        </w:tc>
      </w:tr>
    </w:tbl>
    <w:p w:rsidR="00556BF1" w:rsidRPr="00C6247E" w:rsidRDefault="00556BF1" w:rsidP="00556BF1">
      <w:pPr>
        <w:spacing w:line="240" w:lineRule="auto"/>
        <w:rPr>
          <w:bCs w:val="0"/>
          <w:color w:val="000000"/>
          <w:kern w:val="0"/>
        </w:rPr>
      </w:pPr>
      <w:r w:rsidRPr="00C6247E">
        <w:t>В 202</w:t>
      </w:r>
      <w:r w:rsidR="001554F1" w:rsidRPr="00C6247E">
        <w:t>1</w:t>
      </w:r>
      <w:r w:rsidRPr="00C6247E">
        <w:t xml:space="preserve"> году доля просроченной кредиторской задолженности (2 и более месяца) за приобретенные топливно-энергетические ресурсы, </w:t>
      </w:r>
      <w:r w:rsidRPr="00C6247E">
        <w:rPr>
          <w:bCs w:val="0"/>
          <w:color w:val="000000"/>
          <w:kern w:val="0"/>
        </w:rPr>
        <w:t>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отсутствует.</w:t>
      </w:r>
    </w:p>
    <w:p w:rsidR="00556BF1" w:rsidRPr="00C6247E" w:rsidRDefault="00556BF1" w:rsidP="00556BF1">
      <w:pPr>
        <w:spacing w:line="240" w:lineRule="auto"/>
        <w:rPr>
          <w:bCs w:val="0"/>
          <w:color w:val="000000"/>
          <w:kern w:val="0"/>
        </w:rPr>
      </w:pPr>
      <w:r w:rsidRPr="00C6247E">
        <w:rPr>
          <w:bCs w:val="0"/>
          <w:color w:val="000000"/>
          <w:kern w:val="0"/>
        </w:rPr>
        <w:t>Фактический уровень собираемости взносов на капитальный ремонт общего имущества многоквартирных домов в 202</w:t>
      </w:r>
      <w:r w:rsidR="001554F1" w:rsidRPr="00C6247E">
        <w:rPr>
          <w:bCs w:val="0"/>
          <w:color w:val="000000"/>
          <w:kern w:val="0"/>
        </w:rPr>
        <w:t>1</w:t>
      </w:r>
      <w:r w:rsidRPr="00C6247E">
        <w:rPr>
          <w:bCs w:val="0"/>
          <w:color w:val="000000"/>
          <w:kern w:val="0"/>
        </w:rPr>
        <w:t xml:space="preserve"> году составил 10</w:t>
      </w:r>
      <w:r w:rsidR="001554F1" w:rsidRPr="00C6247E">
        <w:rPr>
          <w:bCs w:val="0"/>
          <w:color w:val="000000"/>
          <w:kern w:val="0"/>
        </w:rPr>
        <w:t>4</w:t>
      </w:r>
      <w:r w:rsidRPr="00C6247E">
        <w:rPr>
          <w:bCs w:val="0"/>
          <w:color w:val="000000"/>
          <w:kern w:val="0"/>
        </w:rPr>
        <w:t>,</w:t>
      </w:r>
      <w:r w:rsidR="001554F1" w:rsidRPr="00C6247E">
        <w:rPr>
          <w:bCs w:val="0"/>
          <w:color w:val="000000"/>
          <w:kern w:val="0"/>
        </w:rPr>
        <w:t>2</w:t>
      </w:r>
      <w:r w:rsidRPr="00C6247E">
        <w:rPr>
          <w:bCs w:val="0"/>
          <w:color w:val="000000"/>
          <w:kern w:val="0"/>
        </w:rPr>
        <w:t>%.</w:t>
      </w:r>
    </w:p>
    <w:p w:rsidR="00AF57E3" w:rsidRPr="00C6247E" w:rsidRDefault="00556BF1" w:rsidP="00C6247E">
      <w:pPr>
        <w:spacing w:line="240" w:lineRule="auto"/>
      </w:pPr>
      <w:r w:rsidRPr="00C6247E">
        <w:rPr>
          <w:bCs w:val="0"/>
          <w:color w:val="000000"/>
          <w:kern w:val="0"/>
        </w:rPr>
        <w:t>Фактический уровень собираемости платы граждан за предоставленные жилищно-коммунальные услуги за 202</w:t>
      </w:r>
      <w:r w:rsidR="001554F1" w:rsidRPr="00C6247E">
        <w:rPr>
          <w:bCs w:val="0"/>
          <w:color w:val="000000"/>
          <w:kern w:val="0"/>
        </w:rPr>
        <w:t>1</w:t>
      </w:r>
      <w:r w:rsidRPr="00C6247E">
        <w:rPr>
          <w:bCs w:val="0"/>
          <w:color w:val="000000"/>
          <w:kern w:val="0"/>
        </w:rPr>
        <w:t xml:space="preserve"> год сохранился на уровне 20</w:t>
      </w:r>
      <w:r w:rsidR="001554F1" w:rsidRPr="00C6247E">
        <w:rPr>
          <w:bCs w:val="0"/>
          <w:color w:val="000000"/>
          <w:kern w:val="0"/>
        </w:rPr>
        <w:t>20</w:t>
      </w:r>
      <w:r w:rsidRPr="00C6247E">
        <w:rPr>
          <w:bCs w:val="0"/>
          <w:color w:val="000000"/>
          <w:kern w:val="0"/>
        </w:rPr>
        <w:t xml:space="preserve"> года и составил 99,7%. </w:t>
      </w:r>
      <w:bookmarkEnd w:id="135"/>
      <w:bookmarkEnd w:id="136"/>
      <w:r w:rsidR="00AF57E3" w:rsidRPr="00C6247E">
        <w:br w:type="page"/>
      </w:r>
    </w:p>
    <w:p w:rsidR="00AF57E3" w:rsidRPr="00C6247E" w:rsidRDefault="00AF57E3" w:rsidP="00AF57E3">
      <w:pPr>
        <w:spacing w:after="200" w:line="276" w:lineRule="auto"/>
        <w:ind w:firstLine="0"/>
        <w:jc w:val="center"/>
        <w:outlineLvl w:val="9"/>
        <w:rPr>
          <w:b/>
        </w:rPr>
      </w:pPr>
      <w:r w:rsidRPr="00C6247E">
        <w:rPr>
          <w:b/>
        </w:rPr>
        <w:lastRenderedPageBreak/>
        <w:t>Раздел 2. Показатели, характеризующие социально-экономическое развитие муниципального образования, оценку эффективности деятельности органов местного самоуправления городских округов и муниципальных районов, за отчетный год и их планируемое значение на 3-летний период</w:t>
      </w:r>
    </w:p>
    <w:tbl>
      <w:tblPr>
        <w:tblW w:w="16018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693"/>
        <w:gridCol w:w="889"/>
        <w:gridCol w:w="850"/>
        <w:gridCol w:w="992"/>
        <w:gridCol w:w="1021"/>
        <w:gridCol w:w="1008"/>
        <w:gridCol w:w="1036"/>
        <w:gridCol w:w="1022"/>
        <w:gridCol w:w="1035"/>
        <w:gridCol w:w="1008"/>
        <w:gridCol w:w="3045"/>
      </w:tblGrid>
      <w:tr w:rsidR="00AF57E3" w:rsidRPr="00C6247E" w:rsidTr="00C6247E">
        <w:trPr>
          <w:trHeight w:val="315"/>
          <w:tblHeader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Наименование раздела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Единицы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Номер в докладе</w:t>
            </w:r>
          </w:p>
        </w:tc>
        <w:tc>
          <w:tcPr>
            <w:tcW w:w="4057" w:type="dxa"/>
            <w:gridSpan w:val="4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Отчёт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Прогноз</w:t>
            </w:r>
          </w:p>
        </w:tc>
        <w:tc>
          <w:tcPr>
            <w:tcW w:w="3045" w:type="dxa"/>
            <w:vMerge w:val="restart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Примечание</w:t>
            </w:r>
          </w:p>
        </w:tc>
      </w:tr>
      <w:tr w:rsidR="00AF57E3" w:rsidRPr="00C6247E" w:rsidTr="00C6247E">
        <w:trPr>
          <w:trHeight w:val="315"/>
          <w:tblHeader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2018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2019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2020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2021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2022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2023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  <w:r w:rsidRPr="00C6247E">
              <w:rPr>
                <w:b/>
                <w:color w:val="000000"/>
                <w:kern w:val="0"/>
                <w:sz w:val="21"/>
                <w:szCs w:val="21"/>
              </w:rPr>
              <w:t>2024</w:t>
            </w:r>
          </w:p>
        </w:tc>
        <w:tc>
          <w:tcPr>
            <w:tcW w:w="3045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AF57E3" w:rsidRPr="00C6247E" w:rsidTr="00C6247E">
        <w:trPr>
          <w:trHeight w:val="1800"/>
        </w:trPr>
        <w:tc>
          <w:tcPr>
            <w:tcW w:w="1419" w:type="dxa"/>
            <w:vMerge w:val="restart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Экономическое развитие</w:t>
            </w: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Единица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244,00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240,00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226,00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223,10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225,10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225,30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225,40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859EF" w:rsidP="00A1521A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A859EF">
              <w:rPr>
                <w:bCs w:val="0"/>
                <w:color w:val="000000"/>
                <w:kern w:val="0"/>
                <w:sz w:val="21"/>
                <w:szCs w:val="21"/>
              </w:rPr>
              <w:t>На территории района зарегистрировано 809 субъектов малого и среднего предпринимательства, данные из Единого реестра субъектов малого и среднего предпринимательства на 01.01.2022</w:t>
            </w:r>
            <w:r>
              <w:rPr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 w:rsidRPr="00A859EF">
              <w:rPr>
                <w:bCs w:val="0"/>
                <w:color w:val="000000"/>
                <w:kern w:val="0"/>
                <w:sz w:val="21"/>
                <w:szCs w:val="21"/>
              </w:rPr>
              <w:t xml:space="preserve">(без учета количества </w:t>
            </w:r>
            <w:proofErr w:type="spellStart"/>
            <w:r w:rsidRPr="00A859EF">
              <w:rPr>
                <w:bCs w:val="0"/>
                <w:color w:val="000000"/>
                <w:kern w:val="0"/>
                <w:sz w:val="21"/>
                <w:szCs w:val="21"/>
              </w:rPr>
              <w:t>самозанятых</w:t>
            </w:r>
            <w:proofErr w:type="spellEnd"/>
            <w:r w:rsidRPr="00A859EF">
              <w:rPr>
                <w:bCs w:val="0"/>
                <w:color w:val="000000"/>
                <w:kern w:val="0"/>
                <w:sz w:val="21"/>
                <w:szCs w:val="21"/>
              </w:rPr>
              <w:t>), плательщиков налога на профессиональный доход на 01.01.2022 г. (</w:t>
            </w:r>
            <w:proofErr w:type="spellStart"/>
            <w:r w:rsidRPr="00A859EF">
              <w:rPr>
                <w:bCs w:val="0"/>
                <w:color w:val="000000"/>
                <w:kern w:val="0"/>
                <w:sz w:val="21"/>
                <w:szCs w:val="21"/>
              </w:rPr>
              <w:t>самозанятые</w:t>
            </w:r>
            <w:proofErr w:type="spellEnd"/>
            <w:r w:rsidRPr="00A859EF">
              <w:rPr>
                <w:bCs w:val="0"/>
                <w:color w:val="000000"/>
                <w:kern w:val="0"/>
                <w:sz w:val="21"/>
                <w:szCs w:val="21"/>
              </w:rPr>
              <w:t>) – 717 чел.)</w:t>
            </w:r>
          </w:p>
        </w:tc>
      </w:tr>
      <w:tr w:rsidR="00AF57E3" w:rsidRPr="00C6247E" w:rsidTr="00C6247E">
        <w:trPr>
          <w:trHeight w:val="21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8,20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8,20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8,40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8,60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8,60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8,60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8,60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CC35AA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За счет реализации на территории района программы поддержки предпринимательства, строительства и модернизации животноводческих ферм крестьянско-фермерскими хозяйствами доля среднесписочной численности работников малых и средних предприятий в среднесписочной численности работников всех предприятий в 202</w:t>
            </w:r>
            <w:r w:rsidR="00CC35AA">
              <w:rPr>
                <w:bCs w:val="0"/>
                <w:color w:val="000000"/>
                <w:kern w:val="0"/>
                <w:sz w:val="21"/>
                <w:szCs w:val="21"/>
              </w:rPr>
              <w:t>1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году составила 8,6%.</w:t>
            </w:r>
          </w:p>
        </w:tc>
      </w:tr>
      <w:tr w:rsidR="00AF57E3" w:rsidRPr="00C6247E" w:rsidTr="00C6247E">
        <w:trPr>
          <w:trHeight w:val="30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Рубль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left="-167"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3484292,0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left="-167"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3618332,0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left="-167"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3754418,0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left="-167"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4121129,0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left="-167"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4244762,0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left="-167"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4372105,0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left="-167"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4503269,0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Увеличение объема инвестиций в основной капитал за 2021 году на 9,8%, связано с ростом инвестиций в основной капитал по видам экономической деятельности: "Добыча полезных ископаемых", "Обрабатывающие производства". На положительную динамику планового периода влияют объемы инвестиционных программ нефтегазодобывающих предприятий, осуществляющих деятельность на территории района и активная инвестиционная политика по обеспечению благоприятного инвестиционного климата, проводимая органами местного самоуправления.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33,41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33,74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33,86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33,89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33,90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33,92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33,92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Увеличение показателя связано с предоставлением земельных участков в собственность юридическим и физическим лицам</w:t>
            </w:r>
          </w:p>
        </w:tc>
      </w:tr>
      <w:tr w:rsidR="00AF57E3" w:rsidRPr="00C6247E" w:rsidTr="00C6247E">
        <w:trPr>
          <w:trHeight w:val="6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Доля прибыльных сельскохозяйственных 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организаций в общем их числе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100,00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D84817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bCs w:val="0"/>
                <w:color w:val="000000"/>
                <w:kern w:val="0"/>
                <w:sz w:val="21"/>
                <w:szCs w:val="21"/>
              </w:rPr>
              <w:t>0</w:t>
            </w:r>
            <w:r w:rsidR="00AF57E3" w:rsidRPr="00C6247E">
              <w:rPr>
                <w:bCs w:val="0"/>
                <w:color w:val="000000"/>
                <w:kern w:val="0"/>
                <w:sz w:val="21"/>
                <w:szCs w:val="21"/>
              </w:rPr>
              <w:t>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D84817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В 2021 году </w:t>
            </w:r>
            <w:r w:rsidR="00D84817">
              <w:rPr>
                <w:bCs w:val="0"/>
                <w:color w:val="000000"/>
                <w:kern w:val="0"/>
                <w:sz w:val="21"/>
                <w:szCs w:val="21"/>
              </w:rPr>
              <w:t xml:space="preserve">нет 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прибыльных сельскохозяйственных организаций</w:t>
            </w:r>
            <w:r w:rsidR="00D84817">
              <w:rPr>
                <w:bCs w:val="0"/>
                <w:color w:val="000000"/>
                <w:kern w:val="0"/>
                <w:sz w:val="21"/>
                <w:szCs w:val="21"/>
              </w:rPr>
              <w:t>.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AF57E3" w:rsidRPr="00C6247E" w:rsidTr="00C6247E">
        <w:trPr>
          <w:trHeight w:val="24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0,92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0,80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0,78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0,78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0,62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0,62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0,62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На конец 2021 года в ходе обследования выявлено 1,63 км автодорог общего пользования местного значения в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сп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. Вата, которые не отвечают нормативным требованиям. В 2022 году планируется привести в нормативное состояние 0,73 км автодорог (д. Вата и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гп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.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Излучинск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), в ходе обследования автодорог в летний период ожидается, что будет выявлено около 0,4 км </w:t>
            </w:r>
            <w:proofErr w:type="gram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автодорог</w:t>
            </w:r>
            <w:proofErr w:type="gram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не отвечающих нормативным требованиям.</w:t>
            </w:r>
          </w:p>
        </w:tc>
      </w:tr>
      <w:tr w:rsidR="00AF57E3" w:rsidRPr="00C6247E" w:rsidTr="00C6247E">
        <w:trPr>
          <w:trHeight w:val="18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6,8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6,70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6,70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6,60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6,60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6,50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6,50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Не имеют регулярного автобусного и (или) железнодорожного сообщения с административным центром 8 населенных пунктов района (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с.Покур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с.Былино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д.Вампугол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с.Корлики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с.Ларьяк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д.Большой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Ларьяк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д.Сосновый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Бор,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д.Чехломей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).</w:t>
            </w:r>
          </w:p>
        </w:tc>
      </w:tr>
      <w:tr w:rsidR="00AF57E3" w:rsidRPr="00C6247E" w:rsidTr="00C6247E">
        <w:trPr>
          <w:trHeight w:val="27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Неизвестные данные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Рост заработной платы работников крупных и средних предприятий обусловлен увеличением заработной платы на предприятиях промышленного производства. В 2021 году выполнялись майские Указы Президента Российской Федерации по оплате труда отдельным категориям работников в сфере образования, культуры, физической культуры и спорта, обеспечивалось 100 процентное достижение целевых показателей. По всем категориям работников заработная плата достигла целевого значения.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Рубль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8.1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71706,7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75179,60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81058,50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86827,30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90300,00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93800,00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97500,00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Рубль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8.2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40489,8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40804,50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42963,50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49700,00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51325,50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51325,50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51325,50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Рубль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8.3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46837,5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48832,40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55181,70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58965,70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60758,20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60758,20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60758,20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Рубль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8.4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60878,0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64053,00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64245,40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78512,70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78512,70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78512,70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78512,70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Рубль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8.5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60478,2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66377,90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69909,20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71054,90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71343,90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71343,90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71343,90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Рубль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8.6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35424,4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39658,60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47502,00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49209,80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51178,20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51178,20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51178,20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1800"/>
        </w:trPr>
        <w:tc>
          <w:tcPr>
            <w:tcW w:w="1419" w:type="dxa"/>
            <w:vMerge w:val="restart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Дошкольное образование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учреждениях в общей численности детей в возрасте 1 - 6 лет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86,4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87,10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83,60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80,10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80,10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80,10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80,10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Уменьшение доли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обусловлено 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тем, что дети, прописанные на территории района, посещают ДОУ на территории ХМАО-Югры и за пределами ХМАО-Югры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Дети в возрасте 1-6 лет, стоящие на учете для определения в муниципальные дошкольные образовательные учреждения, на территории района отсутствуют.</w:t>
            </w:r>
          </w:p>
        </w:tc>
      </w:tr>
      <w:tr w:rsidR="00AF57E3" w:rsidRPr="00C6247E" w:rsidTr="00C6247E">
        <w:trPr>
          <w:trHeight w:val="15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Муниципальные дошкольные образовательные учреждения, здания которых находятся в аварийном состоянии или требуют капитального ремонта, отсутствуют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 w:val="restart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Общее и дополнительное образование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муниципальных общеобразовательных учреждений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Все выпускники муниципальных общеобразовательных учреждений в 2021 году получили аттестат о среднем (полном) образовании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100,00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общеобразовательных учреждений, соответствующих современным требованиям обучения составляет 100%, за счет оптимизации неиспользованных площадей, проведения капитальных и текущих ремонтов.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7E1689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Муниципальные общеобразовательные учреждения, здания которых находятся в аварийном состоянии, отсутствуют.</w:t>
            </w:r>
          </w:p>
        </w:tc>
      </w:tr>
      <w:tr w:rsidR="00AF57E3" w:rsidRPr="00C6247E" w:rsidTr="00C6247E">
        <w:trPr>
          <w:trHeight w:val="1266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91,60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91,90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91,10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93,20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93,20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93,20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93,20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Департаментом здравоохранения автономного округа при расчете показателя учитывается общая численность детей школьного возраста, проживающих на территории Нижневартовского района, обучающихся в муниципальных 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общеобразовательных учреждениях.</w:t>
            </w:r>
          </w:p>
        </w:tc>
      </w:tr>
      <w:tr w:rsidR="00AF57E3" w:rsidRPr="00C6247E" w:rsidTr="00C6247E">
        <w:trPr>
          <w:trHeight w:val="15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Все школьники Нижневартовского района занимаются в первую смену.</w:t>
            </w:r>
          </w:p>
        </w:tc>
      </w:tr>
      <w:tr w:rsidR="00AF57E3" w:rsidRPr="00C6247E" w:rsidTr="00C6247E">
        <w:trPr>
          <w:trHeight w:val="27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Тысяча рублей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252,40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267,10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294,00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320,70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323,80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323,90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324,50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Расходы бюджета муниципального образования на общее образование в расчете на 1 обучающего в муниципальных общеобразовательных учреждениях в 2021 году составили 320,7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тыс.рублей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. Увеличение расходов обусловлено увеличением расходов бюджета муниципального образования на общее образование за счет бюджетных ассигнований на обеспечение выплат ежемесячного денежного вознаграждения за классное руководство педагогическим работникам и уменьшением среднегодовой численности обучающихся.</w:t>
            </w:r>
          </w:p>
        </w:tc>
      </w:tr>
      <w:tr w:rsidR="00AF57E3" w:rsidRPr="00C6247E" w:rsidTr="00C6247E">
        <w:trPr>
          <w:trHeight w:val="561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(с 2016 года изменен расчет показателя, согласно методики Росстата №225 от 4.04.2017г.)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83,80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90,70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91,00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95,10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95,10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95,10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95,10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Увеличение доли охвата детей объясняется повышением эффективности использования имеющихся ресурсов учреждений дополнительного образования.</w:t>
            </w:r>
          </w:p>
        </w:tc>
      </w:tr>
      <w:tr w:rsidR="00AF57E3" w:rsidRPr="00C6247E" w:rsidTr="00C6247E">
        <w:trPr>
          <w:trHeight w:val="600"/>
        </w:trPr>
        <w:tc>
          <w:tcPr>
            <w:tcW w:w="1419" w:type="dxa"/>
            <w:vMerge w:val="restart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Культура</w:t>
            </w: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Неизвестные данные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19.1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180,00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138,50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Уровень фактической обеспеченности учреждениями культуры от нормативной потребности клубами и учреждениями клубного типа в районе составляет 100%</w:t>
            </w:r>
          </w:p>
        </w:tc>
      </w:tr>
      <w:tr w:rsidR="00AF57E3" w:rsidRPr="00C6247E" w:rsidTr="00C6247E">
        <w:trPr>
          <w:trHeight w:val="21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Уровень фактической обеспеченности учреждениями культуры от нормативной потребности: библиотеками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19.2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189,10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161,30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161,30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160,00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161,80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161,80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161,80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Уровень фактической обеспеченности учреждениями культуры от нормативной потребности библиотеками в 2021 году составил 160% Показатель обеспеченности библиотеками в 2022-2024 г. составит 161,8%, количество библиотечных пунктов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внестационарного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обслуживания увеличится до 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 xml:space="preserve">85 </w:t>
            </w:r>
            <w:proofErr w:type="spellStart"/>
            <w:proofErr w:type="gram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ед.,количество</w:t>
            </w:r>
            <w:proofErr w:type="spellEnd"/>
            <w:proofErr w:type="gram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библиотек уменьшится на 2 единицы и составит 15 единиц.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19.3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На территории района отсутствуют парки культуры и отдыха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Муниципальные учреждения культуры, здания которых находятся в аварийном состоянии, отсутствуют.</w:t>
            </w:r>
          </w:p>
        </w:tc>
      </w:tr>
      <w:tr w:rsidR="00AF57E3" w:rsidRPr="00C6247E" w:rsidTr="00C6247E">
        <w:trPr>
          <w:trHeight w:val="15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В районе два объекта культурного наследия регионального значения ("Дом купца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Кайдалова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" в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с.Ларьяк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и памятник "Братская могила Зырянова А.Л. и его бойцов" в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д.Вампугол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). Требующие консервации и реставрации объекты отсутствуют.</w:t>
            </w:r>
          </w:p>
        </w:tc>
      </w:tr>
      <w:tr w:rsidR="00AF57E3" w:rsidRPr="00C6247E" w:rsidTr="00C6247E">
        <w:trPr>
          <w:trHeight w:val="2100"/>
        </w:trPr>
        <w:tc>
          <w:tcPr>
            <w:tcW w:w="1419" w:type="dxa"/>
            <w:vMerge w:val="restart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Физическая культура и спорт</w:t>
            </w: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47,70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53,10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55,70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59,30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64,40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69,00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73,00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Увеличение доли населения, систематически занимающегося физической культурой и спортом, связано с введением в эксплуатацию крытого хоккейного корта в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пгт.Новоаганск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, установкой спортивных площадок в поселениях района, в прогнозный период - с планируемым строительством и введением в эксплуатацию лыжной базы в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п.Ваховск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, спортивных комплексов в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с.Варьеган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и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пгт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.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Излучинск</w:t>
            </w:r>
            <w:proofErr w:type="spellEnd"/>
          </w:p>
        </w:tc>
      </w:tr>
      <w:tr w:rsidR="00AF57E3" w:rsidRPr="00C6247E" w:rsidTr="00C6247E">
        <w:trPr>
          <w:trHeight w:val="15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96,10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97,20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97,50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97,90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98,00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98,10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98,20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Увеличение доли обучающихся, систематически занимающихся физической культурой и спортом связано с круглогодичным использованием, введенного в эксплуатацию в 2021 году, крытого хоккейного корта в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пгт.Новоаганск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, установкой спортивных площадок в поселениях района</w:t>
            </w:r>
          </w:p>
        </w:tc>
      </w:tr>
      <w:tr w:rsidR="00AF57E3" w:rsidRPr="00C6247E" w:rsidTr="00C6247E">
        <w:trPr>
          <w:trHeight w:val="600"/>
        </w:trPr>
        <w:tc>
          <w:tcPr>
            <w:tcW w:w="1419" w:type="dxa"/>
            <w:vMerge w:val="restart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Жилищное строительство и обеспечение 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граждан жильем</w:t>
            </w: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Квадратный метр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17,80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18,00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18,10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18,00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18,20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18,30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18,40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5E703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Общая площадь жилых помещений, приходящая в среднем </w:t>
            </w:r>
            <w:proofErr w:type="gram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на 1 жителя</w:t>
            </w:r>
            <w:proofErr w:type="gram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составил</w:t>
            </w:r>
            <w:r w:rsidR="005E7033">
              <w:rPr>
                <w:bCs w:val="0"/>
                <w:color w:val="000000"/>
                <w:kern w:val="0"/>
                <w:sz w:val="21"/>
                <w:szCs w:val="21"/>
              </w:rPr>
              <w:t>а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18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кв.м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.</w:t>
            </w:r>
          </w:p>
        </w:tc>
      </w:tr>
      <w:tr w:rsidR="00AF57E3" w:rsidRPr="00C6247E" w:rsidTr="00C6247E">
        <w:trPr>
          <w:trHeight w:val="21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В том числе введено общей площади жилых помещений, приходящаяся в среднем на одного жителя за один год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Квадратный метр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24.1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0,30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0,40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0,70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0,50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0,50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0,50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0,50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B800EA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Общая площадь жилых помещений, приходящаяся в среднем на 1 жителя, введенных в 2021 году уменьшилась в связи с тем, что ввод жилья составил 15,3 тыс.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кв.м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(в 20</w:t>
            </w:r>
            <w:r w:rsidR="00D26CFA">
              <w:rPr>
                <w:bCs w:val="0"/>
                <w:color w:val="000000"/>
                <w:kern w:val="0"/>
                <w:sz w:val="21"/>
                <w:szCs w:val="21"/>
              </w:rPr>
              <w:t>20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году -16,2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тыс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кв.м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) и увеличилась среднегодовая численность населения в 2021 году 36,26 тыс. человек (2020 год -36,</w:t>
            </w:r>
            <w:r w:rsidR="00DC2BCE">
              <w:rPr>
                <w:bCs w:val="0"/>
                <w:color w:val="000000"/>
                <w:kern w:val="0"/>
                <w:sz w:val="21"/>
                <w:szCs w:val="21"/>
              </w:rPr>
              <w:t>11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тыс.человек</w:t>
            </w:r>
            <w:proofErr w:type="spellEnd"/>
            <w:proofErr w:type="gram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) .На</w:t>
            </w:r>
            <w:proofErr w:type="gram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2022-2024 годы планируется ввод жилья: 16,5 тыс.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кв.м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, 17,8 тыс.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кв.м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, 19,2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тыс.кв.м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соответственно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Гектар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234,50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258,40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280,50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280,80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280,90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281,20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281,30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Увеличение показателя связано с предоставлением земельных участков в собственность юридическим и физическим лицам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В том числе: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Гектар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25.1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1,30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1,30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1,30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1,30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1,30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1,30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1,40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24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лет; иных объектов капитального строительства - в течение 5 лет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Неизвестные данные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- отсутствуют.</w:t>
            </w:r>
          </w:p>
        </w:tc>
      </w:tr>
      <w:tr w:rsidR="00AF57E3" w:rsidRPr="00C6247E" w:rsidTr="00C6247E">
        <w:trPr>
          <w:trHeight w:val="21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Квадратный метр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26.1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21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 лет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Квадратный метр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26.2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1800"/>
        </w:trPr>
        <w:tc>
          <w:tcPr>
            <w:tcW w:w="1419" w:type="dxa"/>
            <w:vMerge w:val="restart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100,00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Во всех многоквартирных домах на территории района, собственники помещений выбрали и реализуют один из способов управления многоквартирными домами.</w:t>
            </w:r>
          </w:p>
        </w:tc>
      </w:tr>
      <w:tr w:rsidR="00AF57E3" w:rsidRPr="00C6247E" w:rsidTr="00C6247E">
        <w:trPr>
          <w:trHeight w:val="3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85,70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85,70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85,70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85,70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85,70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85,70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85,70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На территории района осуществляют свою деятельность 7 организаций коммунального комплекса. Из них 6 организаций коммунального комплекса частной формы собственности, участие муниципального образования в уставном капитале которых составляет не более 25%.</w:t>
            </w:r>
          </w:p>
        </w:tc>
      </w:tr>
      <w:tr w:rsidR="00AF57E3" w:rsidRPr="00C6247E" w:rsidTr="009C6ED5">
        <w:trPr>
          <w:trHeight w:val="569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Доля многоквартирных домов, расположенных на земельных участках, в отношении которых осуществлен 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государственный кадастровый учет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100,00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100,00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Все земельные участки под многоквартирными домами поставлены на государственный кадастровый учет.</w:t>
            </w:r>
          </w:p>
        </w:tc>
      </w:tr>
      <w:tr w:rsidR="00AF57E3" w:rsidRPr="00C6247E" w:rsidTr="00C6247E">
        <w:trPr>
          <w:trHeight w:val="33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71,90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77,60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78,30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80,00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81,00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81,00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81,00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Данное значение 2021 года превышает на 1,7 % показатель 2020 года. В 2021 году состояло на учете 1215 граждан. Улучшили свои жилищные условия 972 гражданина - путем получения жилых помещений в порядке очередности по договорам социального найма, переселения из непригодного, аварийного жилищного фонда, получение жилых помещений специализированного </w:t>
            </w:r>
            <w:proofErr w:type="gram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жилищ-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ного</w:t>
            </w:r>
            <w:proofErr w:type="spellEnd"/>
            <w:proofErr w:type="gram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фонда, фонда коммерческого использования, реализации мероприятий различных целевых программ (по предоставлению субсидий молодым семьям, переселение за пределы автономного округа, обеспечение детей сирот, многодетных семей, семей с 2 детьми.</w:t>
            </w:r>
          </w:p>
        </w:tc>
      </w:tr>
      <w:tr w:rsidR="00AF57E3" w:rsidRPr="00C6247E" w:rsidTr="00C6247E">
        <w:trPr>
          <w:trHeight w:val="1500"/>
        </w:trPr>
        <w:tc>
          <w:tcPr>
            <w:tcW w:w="1419" w:type="dxa"/>
            <w:vMerge w:val="restart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Организация муниципального управления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образования (без учета субвенций)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63,60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63,80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71,50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74,80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86,40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87,30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86,60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Увеличение налоговых и неналоговых доходов объясняется ростом НДФЛ (с связи с проводимой работой по выявлению обособленных подразделений и погашению задолженности), и арендной платы за земельные участки (в связи с ростом кадастровой 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стоимости земельных участков)</w:t>
            </w:r>
          </w:p>
        </w:tc>
      </w:tr>
      <w:tr w:rsidR="00AF57E3" w:rsidRPr="00C6247E" w:rsidTr="00C6247E">
        <w:trPr>
          <w:trHeight w:val="15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На территории района отсутствуют организации муниципальной формы собственности, находящиеся в стадии банкротства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Тысяча рублей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Объекты, строительство которых осуществляется за счет бюджета района, находящиеся в стадии незавершенного строительства, отсутствуют</w:t>
            </w:r>
          </w:p>
        </w:tc>
      </w:tr>
      <w:tr w:rsidR="00AF57E3" w:rsidRPr="00C6247E" w:rsidTr="00C6247E">
        <w:trPr>
          <w:trHeight w:val="15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Просроченная кредиторская задолженность по оплате труда (включая начисления на оплату труда) муниципальных учреждений отсутствует.</w:t>
            </w:r>
          </w:p>
        </w:tc>
      </w:tr>
      <w:tr w:rsidR="00AF57E3" w:rsidRPr="00C6247E" w:rsidTr="00C6247E">
        <w:trPr>
          <w:trHeight w:val="27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Рубль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left="-146"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12349,40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14232,20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13153,90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15215,10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15175,50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14283,70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14271,90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Увеличение показателя в 2021 году по сравнению с 2020 годом объясняется выплатой в 2021 году поощрения муниципальным управленческим командам за счет средств федерального бюджета, поощрения за счет грантов из бюджета автономного округа за достижение наилучших значений показателей деятельности органов местного самоуправления муниципальных районов и городских округов Ханты-Мансийского автономного округа – Югры за 2020 год, за качество организации и осуществления бюджетного процесса.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Условная единица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1,0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1,00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1,00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Схема территориального планирования района утверждена решением Думы района от 09.12.2009 № 112 (с изменениями от 04.05.2017 № 156, от 07.04.2020 № 512)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Удовлетворенность населения деятельностью местного самоуправления городского округа (муниципального района)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Процент от числа опрошенных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76,00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74,00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61,90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46,00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6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Среднегодовая численность постоянного населения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Тысяча человек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36,061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35,99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36,11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36,26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36,30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36,31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36,34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2100"/>
        </w:trPr>
        <w:tc>
          <w:tcPr>
            <w:tcW w:w="1419" w:type="dxa"/>
            <w:vMerge w:val="restart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Энергосбережение и повышение энергетической эффективности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Неизвестные данные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C6247E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AF57E3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Установка общедомовых и индивидуальных приборов потребления способствует снижению показателей потребления энергетических ресурсов в многоквартирных домах. Снос непригодного жилья и переселение людей в новое жилье, оснащенное приборами учета, также способствует снижению показателей потребления энергетических ресурсов в многоквартирных домах.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килловат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в час на 1 проживающего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39.1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740,78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740,21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739,80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739,50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739,20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739,10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739,05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Гкал. на 1кв. метр общей площади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39.2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0,10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0,10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0,10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0,10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0,10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0,10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0,10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кубических метров на 1 прожи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вающего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39.3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6,23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6,22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6,21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6,20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6,19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6,18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6,17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кубических метров на 1 проживающего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39.4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12,86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12,86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12,86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12,86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12,86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12,86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12,86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кубических метров на 1 проживающего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39.5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C6247E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AF57E3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18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Неизвестные данные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C6247E" w:rsidP="00C6247E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AF57E3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Заключение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энергосервисных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контрактов, направленных на выполнение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меролприятий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по энергосбережению и повышению </w:t>
            </w: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энрегетической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эффективности способствует экономии потребления энергетических ресурсов и снижению показателей потребления энергетических ресурсов муниципальными бюджетными учреждениями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Удельная величина потребления энергетических ресурсов муниципальными бюджетными 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учреждениями: электрическая энергия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килловат</w:t>
            </w:r>
            <w:proofErr w:type="spellEnd"/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в час на 1 прожи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вающего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40.1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82,99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82,96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82,94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82,88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82,87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82,86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82,85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Гкал. на 1кв. метр общей площади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40.2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0,13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0,13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0,13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0,13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0,13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0,13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0,13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кубических метров на 1 проживающего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40.3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0,03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0,03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0,03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0,03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0,03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0,03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0,03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кубических метров на 1 проживающего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40.4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1,21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1,21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1,19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1,19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1,19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1,18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1,18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кубических метров на 1 проживающего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40.5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C6247E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AF57E3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48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образований» на основании распоряжения Правительства Ханты-Мансийского автономного округа – Югры от 20.07.2018 № 378-рп «О внесении изменений в распоряжение Правительства Ханты-Мансийского автономного округа – Югры от 15 марта 2013 года N 92-рп «Об оценке эффективности деятельности органов местного самоуправления городских округов и муниципальных районов Ханты-Мансийского </w:t>
            </w: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автономного округа – Югры».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lastRenderedPageBreak/>
              <w:t>Балл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992" w:type="dxa"/>
            <w:shd w:val="clear" w:color="000000" w:fill="D7D7D7"/>
            <w:noWrap/>
            <w:vAlign w:val="center"/>
            <w:hideMark/>
          </w:tcPr>
          <w:p w:rsidR="00AF57E3" w:rsidRPr="00C6247E" w:rsidRDefault="00C6247E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AF57E3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9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Балл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41.1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57E3" w:rsidRPr="00C6247E" w:rsidRDefault="00C6247E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AF57E3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87,80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AF57E3" w:rsidRPr="00C6247E" w:rsidTr="00C6247E">
        <w:trPr>
          <w:trHeight w:val="12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Балл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41.3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 xml:space="preserve">    131,0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95,00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94,00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90,40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В 2021 году процедуру независимой оценки качества услуг прошло 5 муниципальных общеобразовательных учреждений. Рейтинг 90,4 балла с оценкой "отлично" (в 2020 году проходила независимая оценка качества дошкольных учреждений).</w:t>
            </w:r>
          </w:p>
        </w:tc>
      </w:tr>
      <w:tr w:rsidR="00AF57E3" w:rsidRPr="00C6247E" w:rsidTr="00C6247E">
        <w:trPr>
          <w:trHeight w:val="600"/>
        </w:trPr>
        <w:tc>
          <w:tcPr>
            <w:tcW w:w="1419" w:type="dxa"/>
            <w:vMerge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Балл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41.5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57E3" w:rsidRPr="00C6247E" w:rsidRDefault="00C6247E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AF57E3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22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35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1008" w:type="dxa"/>
            <w:shd w:val="clear" w:color="000000" w:fill="D7D7D7"/>
            <w:noWrap/>
            <w:vAlign w:val="center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righ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0,00</w:t>
            </w:r>
          </w:p>
        </w:tc>
        <w:tc>
          <w:tcPr>
            <w:tcW w:w="3045" w:type="dxa"/>
            <w:shd w:val="clear" w:color="auto" w:fill="auto"/>
            <w:hideMark/>
          </w:tcPr>
          <w:p w:rsidR="00AF57E3" w:rsidRPr="00C6247E" w:rsidRDefault="00AF57E3" w:rsidP="00AF57E3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1"/>
                <w:szCs w:val="21"/>
              </w:rPr>
            </w:pPr>
            <w:r w:rsidRPr="00C6247E">
              <w:rPr>
                <w:bCs w:val="0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:rsidR="00AF57E3" w:rsidRPr="00C6247E" w:rsidRDefault="00AF57E3" w:rsidP="00984975">
      <w:pPr>
        <w:tabs>
          <w:tab w:val="left" w:pos="3135"/>
        </w:tabs>
      </w:pPr>
    </w:p>
    <w:p w:rsidR="00AF57E3" w:rsidRPr="00C6247E" w:rsidRDefault="00AF57E3" w:rsidP="00984975">
      <w:pPr>
        <w:tabs>
          <w:tab w:val="left" w:pos="3135"/>
        </w:tabs>
      </w:pPr>
    </w:p>
    <w:p w:rsidR="00AF57E3" w:rsidRPr="00C6247E" w:rsidRDefault="00AF57E3" w:rsidP="00984975">
      <w:pPr>
        <w:tabs>
          <w:tab w:val="left" w:pos="3135"/>
        </w:tabs>
      </w:pPr>
    </w:p>
    <w:p w:rsidR="00AF57E3" w:rsidRPr="00C6247E" w:rsidRDefault="00AF57E3" w:rsidP="00984975">
      <w:pPr>
        <w:tabs>
          <w:tab w:val="left" w:pos="3135"/>
        </w:tabs>
      </w:pPr>
    </w:p>
    <w:p w:rsidR="009E2372" w:rsidRPr="00C6247E" w:rsidRDefault="009E2372" w:rsidP="00984975">
      <w:pPr>
        <w:tabs>
          <w:tab w:val="left" w:pos="3135"/>
        </w:tabs>
        <w:sectPr w:rsidR="009E2372" w:rsidRPr="00C6247E" w:rsidSect="00C6247E">
          <w:pgSz w:w="16838" w:h="11906" w:orient="landscape"/>
          <w:pgMar w:top="1135" w:right="1134" w:bottom="284" w:left="1134" w:header="709" w:footer="452" w:gutter="0"/>
          <w:cols w:space="708"/>
          <w:docGrid w:linePitch="360"/>
        </w:sectPr>
      </w:pPr>
    </w:p>
    <w:p w:rsidR="00556BF1" w:rsidRPr="00C6247E" w:rsidRDefault="00556BF1" w:rsidP="00556BF1">
      <w:pPr>
        <w:pStyle w:val="1"/>
        <w:keepNext w:val="0"/>
        <w:keepLines w:val="0"/>
        <w:spacing w:line="240" w:lineRule="auto"/>
        <w:ind w:firstLine="0"/>
      </w:pPr>
      <w:r w:rsidRPr="00C6247E">
        <w:lastRenderedPageBreak/>
        <w:t xml:space="preserve">Раздел 3. </w:t>
      </w:r>
      <w:r w:rsidRPr="00C6247E">
        <w:rPr>
          <w:rFonts w:eastAsia="Calibri"/>
        </w:rPr>
        <w:t>Информация о внедрении информационных технологий и повышении информационной открытости, повышении качества пред</w:t>
      </w:r>
      <w:r w:rsidRPr="00C6247E">
        <w:t>оставляемых муниципальных услуг</w:t>
      </w:r>
    </w:p>
    <w:p w:rsidR="00556BF1" w:rsidRPr="00C6247E" w:rsidRDefault="00556BF1" w:rsidP="00556BF1">
      <w:pPr>
        <w:spacing w:line="240" w:lineRule="auto"/>
        <w:ind w:firstLine="0"/>
        <w:jc w:val="center"/>
        <w:rPr>
          <w:b/>
        </w:rPr>
      </w:pPr>
    </w:p>
    <w:p w:rsidR="00556BF1" w:rsidRPr="00C6247E" w:rsidRDefault="00556BF1" w:rsidP="00556BF1">
      <w:pPr>
        <w:spacing w:line="240" w:lineRule="auto"/>
        <w:ind w:firstLine="0"/>
        <w:jc w:val="center"/>
        <w:rPr>
          <w:b/>
        </w:rPr>
      </w:pPr>
    </w:p>
    <w:p w:rsidR="00556BF1" w:rsidRPr="00C6247E" w:rsidRDefault="00556BF1" w:rsidP="00556BF1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bookmarkStart w:id="137" w:name="_Toc292291316"/>
      <w:bookmarkStart w:id="138" w:name="_Toc355022362"/>
      <w:r w:rsidRPr="00C6247E">
        <w:rPr>
          <w:sz w:val="24"/>
          <w:szCs w:val="24"/>
        </w:rPr>
        <w:t xml:space="preserve">3.1. </w:t>
      </w:r>
      <w:bookmarkStart w:id="139" w:name="_Toc292291317"/>
      <w:bookmarkStart w:id="140" w:name="_Toc355022366"/>
      <w:bookmarkEnd w:id="137"/>
      <w:bookmarkEnd w:id="138"/>
      <w:r w:rsidRPr="00C6247E">
        <w:rPr>
          <w:sz w:val="24"/>
          <w:szCs w:val="24"/>
        </w:rPr>
        <w:t xml:space="preserve"> Внедрение информационных технологий при решении задач по обеспечению доступа населения к информации о деятельности органов местного самоуправления</w:t>
      </w:r>
      <w:bookmarkEnd w:id="139"/>
      <w:bookmarkEnd w:id="140"/>
      <w:r w:rsidRPr="00C6247E">
        <w:rPr>
          <w:sz w:val="24"/>
          <w:szCs w:val="24"/>
        </w:rPr>
        <w:t xml:space="preserve"> муниципального образования</w:t>
      </w:r>
    </w:p>
    <w:p w:rsidR="00556BF1" w:rsidRPr="00C6247E" w:rsidRDefault="00556BF1" w:rsidP="00556BF1">
      <w:pPr>
        <w:spacing w:line="240" w:lineRule="auto"/>
      </w:pPr>
    </w:p>
    <w:p w:rsidR="00332E6A" w:rsidRPr="00C6247E" w:rsidRDefault="00332E6A" w:rsidP="00332E6A">
      <w:pPr>
        <w:spacing w:line="240" w:lineRule="auto"/>
        <w:rPr>
          <w:szCs w:val="28"/>
        </w:rPr>
      </w:pPr>
      <w:r w:rsidRPr="00C6247E">
        <w:rPr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информация о деятельности органов местного самоуправления района размещается на официальном веб-сайте администрации Нижневартовского района.</w:t>
      </w:r>
    </w:p>
    <w:p w:rsidR="00332E6A" w:rsidRPr="00C6247E" w:rsidRDefault="00332E6A" w:rsidP="00332E6A">
      <w:pPr>
        <w:spacing w:line="240" w:lineRule="auto"/>
        <w:rPr>
          <w:szCs w:val="28"/>
        </w:rPr>
      </w:pPr>
      <w:r w:rsidRPr="00C6247E">
        <w:t xml:space="preserve">В целях повышения открытости, доступности и полноты сведений о деятельности органа местного самоуправления в постоянном режиме </w:t>
      </w:r>
      <w:r w:rsidRPr="00C6247E">
        <w:rPr>
          <w:szCs w:val="28"/>
        </w:rPr>
        <w:t>на официальном сайте администрации (</w:t>
      </w:r>
      <w:hyperlink r:id="rId10" w:history="1">
        <w:r w:rsidRPr="00C6247E">
          <w:t>http://nvraion.ru</w:t>
        </w:r>
      </w:hyperlink>
      <w:r w:rsidRPr="00C6247E">
        <w:rPr>
          <w:szCs w:val="28"/>
        </w:rPr>
        <w:t>), в социальных сетях (</w:t>
      </w:r>
      <w:proofErr w:type="spellStart"/>
      <w:r w:rsidRPr="00C6247E">
        <w:rPr>
          <w:szCs w:val="28"/>
        </w:rPr>
        <w:t>Вконтакте</w:t>
      </w:r>
      <w:proofErr w:type="spellEnd"/>
      <w:r w:rsidRPr="00C6247E">
        <w:rPr>
          <w:szCs w:val="28"/>
        </w:rPr>
        <w:t xml:space="preserve">, Одноклассники), в </w:t>
      </w:r>
      <w:r w:rsidRPr="00C6247E">
        <w:rPr>
          <w:rStyle w:val="organictextcontentspan"/>
          <w:rFonts w:eastAsiaTheme="majorEastAsia"/>
        </w:rPr>
        <w:t>мессенджерах (</w:t>
      </w:r>
      <w:proofErr w:type="spellStart"/>
      <w:r w:rsidRPr="00C6247E">
        <w:rPr>
          <w:szCs w:val="28"/>
        </w:rPr>
        <w:t>Telegram</w:t>
      </w:r>
      <w:proofErr w:type="spellEnd"/>
      <w:r w:rsidRPr="00C6247E">
        <w:rPr>
          <w:szCs w:val="28"/>
        </w:rPr>
        <w:t xml:space="preserve">, </w:t>
      </w:r>
      <w:proofErr w:type="spellStart"/>
      <w:r w:rsidRPr="00C6247E">
        <w:rPr>
          <w:szCs w:val="28"/>
        </w:rPr>
        <w:t>Viber</w:t>
      </w:r>
      <w:proofErr w:type="spellEnd"/>
      <w:r w:rsidRPr="00C6247E">
        <w:rPr>
          <w:szCs w:val="28"/>
        </w:rPr>
        <w:t>) публикуются посты, проводится рассылка информационных пресс-релизов в поселения и учреждения Нижневартовского района об актуальных сведениях о деятельности главы района, структурных подразделений администрации, размещаются анонсы планируемых мероприятий, а также информационные материалы новостного характера о проведенных мероприятиях.</w:t>
      </w:r>
    </w:p>
    <w:p w:rsidR="00332E6A" w:rsidRPr="00C6247E" w:rsidRDefault="00332E6A" w:rsidP="00332E6A">
      <w:pPr>
        <w:spacing w:line="240" w:lineRule="auto"/>
        <w:rPr>
          <w:szCs w:val="28"/>
        </w:rPr>
      </w:pPr>
      <w:r w:rsidRPr="00C6247E">
        <w:rPr>
          <w:szCs w:val="28"/>
        </w:rPr>
        <w:t>На 4 стойбищах Нижневартовского района реализован проект «IT-стойбище». Доступом в сеть Интернет обеспечиваются жители территорий традиционного природопользования в труднодоступных, отдаленных местностях.</w:t>
      </w:r>
    </w:p>
    <w:p w:rsidR="00332E6A" w:rsidRPr="00C6247E" w:rsidRDefault="00332E6A" w:rsidP="00332E6A">
      <w:pPr>
        <w:spacing w:line="240" w:lineRule="auto"/>
        <w:rPr>
          <w:szCs w:val="28"/>
        </w:rPr>
      </w:pPr>
      <w:r w:rsidRPr="00C6247E">
        <w:rPr>
          <w:szCs w:val="28"/>
        </w:rPr>
        <w:t xml:space="preserve">Популярностью у жителей </w:t>
      </w:r>
      <w:proofErr w:type="spellStart"/>
      <w:r w:rsidRPr="00C6247E">
        <w:rPr>
          <w:szCs w:val="28"/>
        </w:rPr>
        <w:t>Нижневартовского</w:t>
      </w:r>
      <w:proofErr w:type="spellEnd"/>
      <w:r w:rsidRPr="00C6247E">
        <w:rPr>
          <w:szCs w:val="28"/>
        </w:rPr>
        <w:t xml:space="preserve"> района пользуется </w:t>
      </w:r>
      <w:proofErr w:type="spellStart"/>
      <w:r w:rsidRPr="00C6247E">
        <w:rPr>
          <w:szCs w:val="28"/>
        </w:rPr>
        <w:t>нейросеть</w:t>
      </w:r>
      <w:proofErr w:type="spellEnd"/>
      <w:r w:rsidRPr="00C6247E">
        <w:rPr>
          <w:szCs w:val="28"/>
        </w:rPr>
        <w:t xml:space="preserve"> «</w:t>
      </w:r>
      <w:proofErr w:type="spellStart"/>
      <w:r w:rsidRPr="00C6247E">
        <w:rPr>
          <w:szCs w:val="28"/>
        </w:rPr>
        <w:t>Vika</w:t>
      </w:r>
      <w:proofErr w:type="spellEnd"/>
      <w:r w:rsidRPr="00C6247E">
        <w:rPr>
          <w:szCs w:val="28"/>
        </w:rPr>
        <w:t>», разработанная с использованием технологии искусственного интеллекта, в которой реализованы разноплановые сервисы: по мерам поддержки малого и среднего предпринимательства, в сфере социальной поддержки, по информированию об актуальных ценах на топливо, телефонные справочники органов власти всех уровней и др.</w:t>
      </w:r>
    </w:p>
    <w:p w:rsidR="00332E6A" w:rsidRPr="00C6247E" w:rsidRDefault="00332E6A" w:rsidP="00332E6A">
      <w:pPr>
        <w:spacing w:line="240" w:lineRule="auto"/>
        <w:rPr>
          <w:szCs w:val="28"/>
        </w:rPr>
      </w:pPr>
      <w:r w:rsidRPr="00C6247E">
        <w:rPr>
          <w:szCs w:val="28"/>
        </w:rPr>
        <w:t>В Нижневартовском районе все общеобразовательные и дошкольные организации используют государственную информационную систему «Цифровая образовательная платформа Ханты-Мансийского автономного округа – Югры (далее – ГИС Образование Югры). ГИС «Образование Югры» дает возможность всем субъектам образовательного процесса (прежде всего детям, учителям, и родителям) получить удобный и современный инструмент для обеспечения взаимодействия между участниками образовательного процесса посредством сети Интернет, а также обеспечивает широкий, постоянный и устойчивый доступ к любой информации, связанной с реализацией образовательной программы, планируемыми результатами, организацией образовательного процесса. Возможность построения индивидуальных треков обучения с интеграцией традиционных форм получения образования и ресурсов цифрового образовательного контента.</w:t>
      </w:r>
    </w:p>
    <w:p w:rsidR="00332E6A" w:rsidRPr="00C6247E" w:rsidRDefault="00332E6A" w:rsidP="00332E6A">
      <w:pPr>
        <w:spacing w:line="240" w:lineRule="auto"/>
        <w:rPr>
          <w:szCs w:val="28"/>
        </w:rPr>
      </w:pPr>
      <w:r w:rsidRPr="00C6247E">
        <w:rPr>
          <w:szCs w:val="28"/>
        </w:rPr>
        <w:t>В 2021 году продолжена работа по реализации мероприятий Концепции развития экосистемы открытых данных в Ханты-Мансийском автономном округе – Югре, утвержденной распоряжением Правительства автономного округа от 15 июня 2018 года № 310-рп. По состоянию на 1 января 2022 года на портале открытых данных автономного округа (</w:t>
      </w:r>
      <w:hyperlink r:id="rId11" w:history="1">
        <w:r w:rsidRPr="00C6247E">
          <w:t>http://data.admhmao.ru</w:t>
        </w:r>
      </w:hyperlink>
      <w:r w:rsidRPr="00C6247E">
        <w:rPr>
          <w:szCs w:val="28"/>
        </w:rPr>
        <w:t xml:space="preserve">) размещено 50 наборов открытых данных. Размещение открытых данных осуществляется в соответствии с планом-графиком публикации государственных и муниципальных открытых данных. </w:t>
      </w:r>
    </w:p>
    <w:p w:rsidR="00332E6A" w:rsidRPr="00C6247E" w:rsidRDefault="00332E6A" w:rsidP="00332E6A">
      <w:pPr>
        <w:spacing w:line="240" w:lineRule="auto"/>
        <w:rPr>
          <w:szCs w:val="28"/>
        </w:rPr>
      </w:pPr>
      <w:r w:rsidRPr="00C6247E">
        <w:rPr>
          <w:szCs w:val="28"/>
        </w:rPr>
        <w:t xml:space="preserve">В 2021 году продолжены работы по реализации мероприятий регионального проекта «Кадры для цифровой экономики» национальной программы «Цифровая экономика Российской Федерации». Одной из задач регионального проекта является оказание содействия гражданам, включая граждан </w:t>
      </w:r>
      <w:proofErr w:type="spellStart"/>
      <w:r w:rsidRPr="00C6247E">
        <w:rPr>
          <w:szCs w:val="28"/>
        </w:rPr>
        <w:t>предпенсионного</w:t>
      </w:r>
      <w:proofErr w:type="spellEnd"/>
      <w:r w:rsidRPr="00C6247E">
        <w:rPr>
          <w:szCs w:val="28"/>
        </w:rPr>
        <w:t xml:space="preserve"> и старшего возраста, в освоении ключевых компетенций цифровой экономики, в том числе путем проведения </w:t>
      </w:r>
      <w:r w:rsidRPr="00C6247E">
        <w:rPr>
          <w:szCs w:val="28"/>
        </w:rPr>
        <w:lastRenderedPageBreak/>
        <w:t>информационных кампаний по поддержке и продвижению в Нижневартовском районе реализации персональных цифровых сертификатов от государства, а также по использованию гражданами общедоступного онлайн-сервиса непрерывного образования.</w:t>
      </w:r>
    </w:p>
    <w:p w:rsidR="00332E6A" w:rsidRPr="00C6247E" w:rsidRDefault="00332E6A" w:rsidP="00332E6A">
      <w:pPr>
        <w:spacing w:line="240" w:lineRule="auto"/>
        <w:rPr>
          <w:szCs w:val="28"/>
        </w:rPr>
      </w:pPr>
      <w:r w:rsidRPr="00C6247E">
        <w:rPr>
          <w:szCs w:val="28"/>
        </w:rPr>
        <w:t xml:space="preserve">Одним из решающих факторов для перехода к цифровой экономике является наличие высококвалифицированных </w:t>
      </w:r>
      <w:r w:rsidR="0021703C" w:rsidRPr="00C6247E">
        <w:rPr>
          <w:szCs w:val="28"/>
        </w:rPr>
        <w:t xml:space="preserve">IT </w:t>
      </w:r>
      <w:r w:rsidRPr="00C6247E">
        <w:rPr>
          <w:szCs w:val="28"/>
        </w:rPr>
        <w:t>-кадров. В этой связи в Нижневартовском районе ведется работа с учащимися школ для поддержки их развития в новой цифровой среде. Основным местом проведения обучения ключевым компетенциям цифровой экономики являются центры общественного доступа. В целях создания инфраструктуры общественного доступа к информации о деятельности органов местного самоуправления и информации о государственных и муниципальных услугах в районе действует 17 центров общественного доступа.</w:t>
      </w:r>
    </w:p>
    <w:p w:rsidR="00332E6A" w:rsidRPr="00C6247E" w:rsidRDefault="00332E6A" w:rsidP="00332E6A">
      <w:pPr>
        <w:spacing w:line="240" w:lineRule="auto"/>
        <w:rPr>
          <w:szCs w:val="28"/>
        </w:rPr>
      </w:pPr>
      <w:r w:rsidRPr="00C6247E">
        <w:rPr>
          <w:szCs w:val="28"/>
        </w:rPr>
        <w:t xml:space="preserve">В Нижневартовском районе проводится централизация управления IT-инфраструктурой, единые принципы создания и сопровождения информационных систем, защиты информации для оптимизирования расходов на закупку серверного и компьютерного оборудования. Все администрации муниципальных образований и 29 подведомственных им учреждений подключены к системе электронного документооборота. Данный функционал позволил значительно оптимизировать процесс документооборота, упростил процедуру исполнения решений, требовавших ранее существенных затрат времени и материальных средств, исключил возможные риски потери документов, а также позволил эффективно контролировать исполнение решений. </w:t>
      </w:r>
    </w:p>
    <w:p w:rsidR="00332E6A" w:rsidRPr="00C6247E" w:rsidRDefault="00332E6A" w:rsidP="00332E6A">
      <w:pPr>
        <w:spacing w:line="240" w:lineRule="auto"/>
        <w:rPr>
          <w:szCs w:val="28"/>
        </w:rPr>
      </w:pPr>
      <w:r w:rsidRPr="00C6247E">
        <w:rPr>
          <w:szCs w:val="28"/>
        </w:rPr>
        <w:t>В отчетном году на официальный веб-сайт администрации района поступило 162 обращени</w:t>
      </w:r>
      <w:r w:rsidR="0021703C" w:rsidRPr="00C6247E">
        <w:rPr>
          <w:szCs w:val="28"/>
        </w:rPr>
        <w:t>я</w:t>
      </w:r>
      <w:r w:rsidRPr="00C6247E">
        <w:rPr>
          <w:szCs w:val="28"/>
        </w:rPr>
        <w:t>, количество посещений официального веб-сайта составило более 803 тысяч пользователей.</w:t>
      </w:r>
    </w:p>
    <w:p w:rsidR="00332E6A" w:rsidRPr="00C6247E" w:rsidRDefault="00332E6A" w:rsidP="00332E6A">
      <w:pPr>
        <w:spacing w:line="240" w:lineRule="auto"/>
        <w:rPr>
          <w:szCs w:val="28"/>
        </w:rPr>
      </w:pPr>
      <w:r w:rsidRPr="00C6247E">
        <w:rPr>
          <w:szCs w:val="28"/>
        </w:rPr>
        <w:t xml:space="preserve">По итогам ежегодного конкурса на лучший официальный портал органов власти и органов местного самоуправления, проводимого департаментом информационных технологий автономного округа, сайт администрации Нижневартовского района вошел в число победителей. </w:t>
      </w:r>
    </w:p>
    <w:p w:rsidR="00556BF1" w:rsidRPr="00C6247E" w:rsidRDefault="00332E6A" w:rsidP="00332E6A">
      <w:pPr>
        <w:spacing w:line="240" w:lineRule="auto"/>
        <w:rPr>
          <w:szCs w:val="28"/>
        </w:rPr>
      </w:pPr>
      <w:r w:rsidRPr="00C6247E">
        <w:rPr>
          <w:szCs w:val="28"/>
        </w:rPr>
        <w:t>Особое внимание уделяется вопросам информационной безопасности. В 2021 году реализован комплекс мероприятий по защите информации при обеспечении дистанционного режима работы должностных лиц. Нарушений, связанных с утечкой, блокировкой, модификацией информации при работе в данном режиме, не допущено. В целом, в 2021 году система защиты информации функционировала устойчиво, без сбоев. Случаев простоя информационных систем от воздействия компьютерных атак не выявлено.</w:t>
      </w:r>
    </w:p>
    <w:p w:rsidR="00556BF1" w:rsidRPr="00C6247E" w:rsidRDefault="00556BF1" w:rsidP="00556BF1">
      <w:pPr>
        <w:spacing w:line="240" w:lineRule="auto"/>
        <w:rPr>
          <w:szCs w:val="28"/>
        </w:rPr>
      </w:pPr>
    </w:p>
    <w:p w:rsidR="00556BF1" w:rsidRPr="00C6247E" w:rsidRDefault="00556BF1" w:rsidP="00556BF1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bookmarkStart w:id="141" w:name="_Toc292291318"/>
      <w:bookmarkStart w:id="142" w:name="_Toc355022373"/>
      <w:r w:rsidRPr="00C6247E">
        <w:rPr>
          <w:sz w:val="24"/>
          <w:szCs w:val="24"/>
        </w:rPr>
        <w:t xml:space="preserve">3.2. Повышение информационной открытости органов местного самоуправления муниципального образования, включая информацию о качестве окружающей среды, публичная и </w:t>
      </w:r>
      <w:proofErr w:type="spellStart"/>
      <w:r w:rsidRPr="00C6247E">
        <w:rPr>
          <w:sz w:val="24"/>
          <w:szCs w:val="24"/>
        </w:rPr>
        <w:t>медийная</w:t>
      </w:r>
      <w:proofErr w:type="spellEnd"/>
      <w:r w:rsidRPr="00C6247E">
        <w:rPr>
          <w:sz w:val="24"/>
          <w:szCs w:val="24"/>
        </w:rPr>
        <w:t xml:space="preserve"> (публикации и выступления в СМИ) активность главы района, работа с населением</w:t>
      </w:r>
      <w:bookmarkEnd w:id="141"/>
      <w:bookmarkEnd w:id="142"/>
    </w:p>
    <w:p w:rsidR="00B13962" w:rsidRPr="00C6247E" w:rsidRDefault="00B13962" w:rsidP="00B13962">
      <w:pPr>
        <w:spacing w:line="240" w:lineRule="auto"/>
        <w:rPr>
          <w:bCs w:val="0"/>
          <w:szCs w:val="28"/>
        </w:rPr>
      </w:pPr>
      <w:r w:rsidRPr="00C6247E">
        <w:rPr>
          <w:bCs w:val="0"/>
          <w:szCs w:val="28"/>
        </w:rPr>
        <w:t>Информационная политика администрации района, как и прежде базируется на принципах максимальной открытости работы всех структур местного самоуправления и равных отношений со СМИ, что позволяет наиболее эффективно осуществлять свои полномочия.</w:t>
      </w:r>
    </w:p>
    <w:p w:rsidR="00B13962" w:rsidRPr="00C6247E" w:rsidRDefault="00B13962" w:rsidP="00B13962">
      <w:pPr>
        <w:spacing w:line="240" w:lineRule="auto"/>
        <w:rPr>
          <w:color w:val="000000"/>
          <w:szCs w:val="28"/>
        </w:rPr>
      </w:pPr>
      <w:r w:rsidRPr="00C6247E">
        <w:rPr>
          <w:color w:val="000000"/>
          <w:szCs w:val="28"/>
        </w:rPr>
        <w:t xml:space="preserve">Главной задачей являлось оперативное информирование населения обо всех событиях, проходящих на территории Нижневартовского района, через официальные сайты органов местного самоуправления Нижневартовского района, социальные сети, «Телевидение Нижневартовского района», общественно-политическую газету «Новости </w:t>
      </w:r>
      <w:proofErr w:type="spellStart"/>
      <w:r w:rsidRPr="00C6247E">
        <w:rPr>
          <w:color w:val="000000"/>
          <w:szCs w:val="28"/>
        </w:rPr>
        <w:t>Приобья</w:t>
      </w:r>
      <w:proofErr w:type="spellEnd"/>
      <w:r w:rsidRPr="00C6247E">
        <w:rPr>
          <w:color w:val="000000"/>
          <w:szCs w:val="28"/>
        </w:rPr>
        <w:t>», а также региональные, окружные телеканалы и печатные издания, интернет-агентства России, Уральского Федерального округа, Тюменской области, Ханты-Мансийского автономного округа – Югры.</w:t>
      </w:r>
    </w:p>
    <w:p w:rsidR="00B13962" w:rsidRPr="00C6247E" w:rsidRDefault="00B13962" w:rsidP="00B13962">
      <w:pPr>
        <w:spacing w:line="240" w:lineRule="auto"/>
        <w:rPr>
          <w:color w:val="000000"/>
          <w:szCs w:val="28"/>
        </w:rPr>
      </w:pPr>
      <w:r w:rsidRPr="00C6247E">
        <w:rPr>
          <w:color w:val="000000"/>
          <w:szCs w:val="28"/>
        </w:rPr>
        <w:t xml:space="preserve">В 2021 году информационная политика была направлена на повышение осведомленности граждан о принимаемых властью решениях, об их исполнении с учетом мнения жителей и работе органов местного самоуправления Нижневартовского района. </w:t>
      </w:r>
      <w:r w:rsidRPr="00C6247E">
        <w:rPr>
          <w:color w:val="000000"/>
          <w:szCs w:val="28"/>
        </w:rPr>
        <w:lastRenderedPageBreak/>
        <w:t>Приоритетными являлись темы, касающиеся жизнедеятельности района и деятельности органов власти, а также реализации Указов Президента, достижений целевых показателей в реализации мероприятий национальных проектов, реализации муниципальных программ.</w:t>
      </w:r>
    </w:p>
    <w:p w:rsidR="00B13962" w:rsidRPr="00C6247E" w:rsidRDefault="00B13962" w:rsidP="00B13962">
      <w:pPr>
        <w:spacing w:line="240" w:lineRule="auto"/>
        <w:ind w:firstLine="708"/>
        <w:rPr>
          <w:color w:val="000000"/>
          <w:szCs w:val="28"/>
        </w:rPr>
      </w:pPr>
      <w:r w:rsidRPr="00C6247E">
        <w:rPr>
          <w:color w:val="000000"/>
          <w:szCs w:val="28"/>
        </w:rPr>
        <w:t xml:space="preserve">Основной объем информации размещался в муниципальных средствах массовой информации – в эфире «Телевидения Нижневартовского района», в общественно-политической газете «Новости </w:t>
      </w:r>
      <w:proofErr w:type="spellStart"/>
      <w:r w:rsidRPr="00C6247E">
        <w:rPr>
          <w:color w:val="000000"/>
          <w:szCs w:val="28"/>
        </w:rPr>
        <w:t>Приобья</w:t>
      </w:r>
      <w:proofErr w:type="spellEnd"/>
      <w:r w:rsidRPr="00C6247E">
        <w:rPr>
          <w:color w:val="000000"/>
          <w:szCs w:val="28"/>
        </w:rPr>
        <w:t xml:space="preserve">», а также </w:t>
      </w:r>
      <w:r w:rsidRPr="00C6247E">
        <w:rPr>
          <w:szCs w:val="28"/>
        </w:rPr>
        <w:t>на официальном сайте администрации района (</w:t>
      </w:r>
      <w:hyperlink r:id="rId12" w:history="1">
        <w:r w:rsidRPr="00C6247E">
          <w:t>http://nvraion.ru</w:t>
        </w:r>
      </w:hyperlink>
      <w:r w:rsidRPr="00C6247E">
        <w:rPr>
          <w:szCs w:val="28"/>
        </w:rPr>
        <w:t>), в социальных сетях (</w:t>
      </w:r>
      <w:proofErr w:type="spellStart"/>
      <w:r w:rsidRPr="00C6247E">
        <w:rPr>
          <w:szCs w:val="28"/>
        </w:rPr>
        <w:t>Вконтакте</w:t>
      </w:r>
      <w:proofErr w:type="spellEnd"/>
      <w:r w:rsidRPr="00C6247E">
        <w:rPr>
          <w:szCs w:val="28"/>
        </w:rPr>
        <w:t xml:space="preserve">, Одноклассники, </w:t>
      </w:r>
      <w:proofErr w:type="spellStart"/>
      <w:r w:rsidRPr="00C6247E">
        <w:rPr>
          <w:szCs w:val="28"/>
        </w:rPr>
        <w:t>Инстаграм</w:t>
      </w:r>
      <w:proofErr w:type="spellEnd"/>
      <w:r w:rsidRPr="00C6247E">
        <w:rPr>
          <w:szCs w:val="28"/>
        </w:rPr>
        <w:t>)</w:t>
      </w:r>
      <w:r w:rsidRPr="00C6247E">
        <w:rPr>
          <w:color w:val="000000"/>
          <w:szCs w:val="28"/>
        </w:rPr>
        <w:t>.</w:t>
      </w:r>
    </w:p>
    <w:p w:rsidR="00B13962" w:rsidRPr="00C6247E" w:rsidRDefault="00B13962" w:rsidP="00B13962">
      <w:pPr>
        <w:spacing w:line="240" w:lineRule="auto"/>
        <w:rPr>
          <w:color w:val="000000"/>
          <w:szCs w:val="28"/>
        </w:rPr>
      </w:pPr>
      <w:r w:rsidRPr="00C6247E">
        <w:rPr>
          <w:color w:val="000000"/>
          <w:szCs w:val="28"/>
        </w:rPr>
        <w:t xml:space="preserve">В 2021 году в районе принято 20 муниципальных программ, направленных на обеспечение социальной поддержки населения, коренных малочисленных народов Севера, оказание поддержки малому и среднему предпринимательству, развитие сферы образования, культуры, физической культуры и спорта и другие. Реализация этих программ широко освещалась в эфире «Телевидения Нижневартовского района» и на страницах общественно-политической газеты «Новости </w:t>
      </w:r>
      <w:proofErr w:type="spellStart"/>
      <w:r w:rsidRPr="00C6247E">
        <w:rPr>
          <w:color w:val="000000"/>
          <w:szCs w:val="28"/>
        </w:rPr>
        <w:t>Приобья</w:t>
      </w:r>
      <w:proofErr w:type="spellEnd"/>
      <w:r w:rsidRPr="00C6247E">
        <w:rPr>
          <w:color w:val="000000"/>
          <w:szCs w:val="28"/>
        </w:rPr>
        <w:t>».</w:t>
      </w:r>
    </w:p>
    <w:p w:rsidR="00B13962" w:rsidRPr="00C6247E" w:rsidRDefault="00B13962" w:rsidP="00B13962">
      <w:pPr>
        <w:spacing w:line="240" w:lineRule="auto"/>
        <w:rPr>
          <w:color w:val="000000"/>
          <w:szCs w:val="28"/>
        </w:rPr>
      </w:pPr>
      <w:r w:rsidRPr="00C6247E">
        <w:rPr>
          <w:color w:val="000000"/>
          <w:szCs w:val="28"/>
        </w:rPr>
        <w:t>В газете освещались темы о доставке товаров в отдалённые и труднодоступные населённые пункты района, подготовке объектов ЖКХ к зиме, капитальном ремонте учреждений образования, строительстве жилья и объектов социально-</w:t>
      </w:r>
      <w:proofErr w:type="spellStart"/>
      <w:r w:rsidRPr="00C6247E">
        <w:rPr>
          <w:color w:val="000000"/>
          <w:szCs w:val="28"/>
        </w:rPr>
        <w:t>культрного</w:t>
      </w:r>
      <w:proofErr w:type="spellEnd"/>
      <w:r w:rsidRPr="00C6247E">
        <w:rPr>
          <w:color w:val="000000"/>
          <w:szCs w:val="28"/>
        </w:rPr>
        <w:t xml:space="preserve"> назначения, ситуации на рынке труда в районе. Победы спортсменов Нижневартовского района на соревнованиях становились предметом публикаций в общественно-политической газете «Новости </w:t>
      </w:r>
      <w:proofErr w:type="spellStart"/>
      <w:r w:rsidRPr="00C6247E">
        <w:rPr>
          <w:color w:val="000000"/>
          <w:szCs w:val="28"/>
        </w:rPr>
        <w:t>Приобья</w:t>
      </w:r>
      <w:proofErr w:type="spellEnd"/>
      <w:r w:rsidRPr="00C6247E">
        <w:rPr>
          <w:color w:val="000000"/>
          <w:szCs w:val="28"/>
        </w:rPr>
        <w:t>» и репортажей «Телевидения Нижневартовского района». В 2021 году одной из ключевых тем в СМИ стала информация об эпидемиологической обстановке в населенных пунктах района, а также о проведении Всероссийской переписи населения на территории Нижневартовского района. В СМИ также регулярно освещались такие важные события как национальные праздники, выставки-ярмарки товаропроизводителей и др.</w:t>
      </w:r>
    </w:p>
    <w:p w:rsidR="00B13962" w:rsidRPr="00C6247E" w:rsidRDefault="00B13962" w:rsidP="00B13962">
      <w:pPr>
        <w:spacing w:line="240" w:lineRule="auto"/>
        <w:rPr>
          <w:color w:val="000000"/>
          <w:szCs w:val="28"/>
        </w:rPr>
      </w:pPr>
      <w:r w:rsidRPr="00C6247E">
        <w:rPr>
          <w:color w:val="000000"/>
          <w:szCs w:val="28"/>
        </w:rPr>
        <w:t>В целях обеспечения открытости деятельности должностных лиц администрации района ежегодно проводятся приемы граждан и юридических лиц по личным вопросам Главой района, его заместителями и руководителями структурных подразделений администрации района, в том числе с выездом в населенные пункты района.</w:t>
      </w:r>
    </w:p>
    <w:p w:rsidR="00B13962" w:rsidRPr="00C6247E" w:rsidRDefault="00B13962" w:rsidP="00B13962">
      <w:pPr>
        <w:spacing w:line="240" w:lineRule="auto"/>
        <w:ind w:left="60" w:right="80" w:firstLine="680"/>
      </w:pPr>
      <w:r w:rsidRPr="00C6247E">
        <w:t>В отчетном году была продолжена работа по проведению «прямой телефонной линии» руководителями структурных подразделений администрации района, направленная на информирование населения района о деятельности администрации района, своевременном принятии решен</w:t>
      </w:r>
      <w:r w:rsidRPr="00C6247E">
        <w:rPr>
          <w:color w:val="000000"/>
          <w:szCs w:val="28"/>
        </w:rPr>
        <w:t xml:space="preserve">ий по вопросам, интересующим жителей района, защите их законных интересов. </w:t>
      </w:r>
    </w:p>
    <w:p w:rsidR="00B13962" w:rsidRPr="00C6247E" w:rsidRDefault="00B13962" w:rsidP="00B13962">
      <w:pPr>
        <w:spacing w:line="240" w:lineRule="auto"/>
        <w:rPr>
          <w:color w:val="000000"/>
          <w:szCs w:val="28"/>
        </w:rPr>
      </w:pPr>
      <w:r w:rsidRPr="00C6247E">
        <w:rPr>
          <w:color w:val="000000"/>
          <w:szCs w:val="28"/>
        </w:rPr>
        <w:t>Эффективной формой обратной связи является ежегодное проведение отчетных собраний граждан по итогам работы администраций городских и сельских поселений района.</w:t>
      </w:r>
    </w:p>
    <w:p w:rsidR="00B13962" w:rsidRPr="00C6247E" w:rsidRDefault="00B13962" w:rsidP="00B13962">
      <w:pPr>
        <w:spacing w:line="240" w:lineRule="auto"/>
        <w:rPr>
          <w:color w:val="000000"/>
          <w:szCs w:val="28"/>
        </w:rPr>
      </w:pPr>
      <w:r w:rsidRPr="00C6247E">
        <w:rPr>
          <w:color w:val="000000"/>
          <w:szCs w:val="28"/>
        </w:rPr>
        <w:t xml:space="preserve">В целях совершенствования формы и методов работы с обращениями жителей, администрация района ведет свои аккаунты во всех популярных социальных сетях (Одноклассники, </w:t>
      </w:r>
      <w:proofErr w:type="spellStart"/>
      <w:r w:rsidRPr="00C6247E">
        <w:rPr>
          <w:color w:val="000000"/>
          <w:szCs w:val="28"/>
        </w:rPr>
        <w:t>ВКонтакте</w:t>
      </w:r>
      <w:proofErr w:type="spellEnd"/>
      <w:r w:rsidRPr="00C6247E">
        <w:rPr>
          <w:color w:val="000000"/>
          <w:szCs w:val="28"/>
        </w:rPr>
        <w:t>), мессенджерах (</w:t>
      </w:r>
      <w:proofErr w:type="spellStart"/>
      <w:r w:rsidRPr="00C6247E">
        <w:rPr>
          <w:color w:val="000000"/>
          <w:szCs w:val="28"/>
        </w:rPr>
        <w:t>Telegram</w:t>
      </w:r>
      <w:proofErr w:type="spellEnd"/>
      <w:r w:rsidRPr="00C6247E">
        <w:rPr>
          <w:color w:val="000000"/>
          <w:szCs w:val="28"/>
        </w:rPr>
        <w:t xml:space="preserve">, </w:t>
      </w:r>
      <w:proofErr w:type="spellStart"/>
      <w:r w:rsidRPr="00C6247E">
        <w:rPr>
          <w:color w:val="000000"/>
          <w:szCs w:val="28"/>
        </w:rPr>
        <w:t>Viber</w:t>
      </w:r>
      <w:proofErr w:type="spellEnd"/>
      <w:r w:rsidRPr="00C6247E">
        <w:rPr>
          <w:color w:val="000000"/>
          <w:szCs w:val="28"/>
        </w:rPr>
        <w:t xml:space="preserve">). Используется механизм «Единое окно обратной цифровой обратной связи» для оперативной подготовки ответов на обращения граждан, поступающих посредством </w:t>
      </w:r>
      <w:r w:rsidRPr="00C6247E">
        <w:rPr>
          <w:szCs w:val="28"/>
        </w:rPr>
        <w:t>социальных сетей (</w:t>
      </w:r>
      <w:proofErr w:type="spellStart"/>
      <w:r w:rsidRPr="00C6247E">
        <w:rPr>
          <w:szCs w:val="28"/>
        </w:rPr>
        <w:t>Вконтакте</w:t>
      </w:r>
      <w:proofErr w:type="spellEnd"/>
      <w:r w:rsidRPr="00C6247E">
        <w:rPr>
          <w:szCs w:val="28"/>
        </w:rPr>
        <w:t xml:space="preserve">, Одноклассники), в </w:t>
      </w:r>
      <w:r w:rsidRPr="00C6247E">
        <w:rPr>
          <w:rStyle w:val="organictextcontentspan"/>
          <w:rFonts w:eastAsiaTheme="majorEastAsia"/>
        </w:rPr>
        <w:t>мессенджерах (</w:t>
      </w:r>
      <w:proofErr w:type="spellStart"/>
      <w:r w:rsidRPr="00C6247E">
        <w:rPr>
          <w:szCs w:val="28"/>
        </w:rPr>
        <w:t>Telegram</w:t>
      </w:r>
      <w:proofErr w:type="spellEnd"/>
      <w:r w:rsidRPr="00C6247E">
        <w:rPr>
          <w:szCs w:val="28"/>
        </w:rPr>
        <w:t xml:space="preserve">, </w:t>
      </w:r>
      <w:proofErr w:type="spellStart"/>
      <w:r w:rsidRPr="00C6247E">
        <w:rPr>
          <w:szCs w:val="28"/>
        </w:rPr>
        <w:t>Viber</w:t>
      </w:r>
      <w:proofErr w:type="spellEnd"/>
      <w:r w:rsidRPr="00C6247E">
        <w:rPr>
          <w:szCs w:val="28"/>
        </w:rPr>
        <w:t xml:space="preserve">). По </w:t>
      </w:r>
      <w:r w:rsidRPr="00C6247E">
        <w:rPr>
          <w:color w:val="000000"/>
          <w:szCs w:val="28"/>
        </w:rPr>
        <w:t>итогам 2021 года в системе мониторинга ЦУР «Инцидент Менеджмент» по Нижневартовскому району поступило 734 сообщени</w:t>
      </w:r>
      <w:r w:rsidR="00951F17" w:rsidRPr="00C6247E">
        <w:rPr>
          <w:color w:val="000000"/>
          <w:szCs w:val="28"/>
        </w:rPr>
        <w:t>я, и</w:t>
      </w:r>
      <w:r w:rsidRPr="00C6247E">
        <w:rPr>
          <w:color w:val="000000"/>
          <w:szCs w:val="28"/>
        </w:rPr>
        <w:t>з них 67 – в личные сообщения официальных групп администрации Нижневартовского района, на все вопросы граждане получили разъяснительные ответы в течение 4 часов.</w:t>
      </w:r>
    </w:p>
    <w:p w:rsidR="00B13962" w:rsidRPr="00C6247E" w:rsidRDefault="00B13962" w:rsidP="00B13962">
      <w:pPr>
        <w:spacing w:line="240" w:lineRule="auto"/>
        <w:rPr>
          <w:color w:val="000000"/>
          <w:szCs w:val="28"/>
        </w:rPr>
      </w:pPr>
      <w:r w:rsidRPr="00C6247E">
        <w:rPr>
          <w:color w:val="000000"/>
          <w:szCs w:val="28"/>
        </w:rPr>
        <w:t>В 2021 году администрация Нижневартовского района продолжила принимать участие в реализации мероприятий национального проекта «Экология», активистами районного волонтёрского объединения «Рука помощи» и общественниками очищены береговые зоны в населённых пунктах района общей протяженностью 43 км. Проведено 82 природоохранных мероприяти</w:t>
      </w:r>
      <w:r w:rsidR="00951F17" w:rsidRPr="00C6247E">
        <w:rPr>
          <w:color w:val="000000"/>
          <w:szCs w:val="28"/>
        </w:rPr>
        <w:t>я</w:t>
      </w:r>
      <w:r w:rsidRPr="00C6247E">
        <w:rPr>
          <w:color w:val="000000"/>
          <w:szCs w:val="28"/>
        </w:rPr>
        <w:t>, 134 мероприятия по экологическому просвещению населения.</w:t>
      </w:r>
    </w:p>
    <w:p w:rsidR="00556BF1" w:rsidRPr="00C6247E" w:rsidRDefault="00556BF1" w:rsidP="00556BF1">
      <w:pPr>
        <w:spacing w:line="240" w:lineRule="auto"/>
      </w:pPr>
    </w:p>
    <w:p w:rsidR="00556BF1" w:rsidRPr="00C6247E" w:rsidRDefault="00556BF1" w:rsidP="00556BF1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r w:rsidRPr="00C6247E">
        <w:rPr>
          <w:sz w:val="24"/>
          <w:szCs w:val="24"/>
        </w:rPr>
        <w:t>3.3.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</w:p>
    <w:p w:rsidR="00556BF1" w:rsidRPr="00C6247E" w:rsidRDefault="00556BF1" w:rsidP="00556BF1">
      <w:pPr>
        <w:spacing w:line="240" w:lineRule="auto"/>
      </w:pPr>
    </w:p>
    <w:p w:rsidR="005A7A30" w:rsidRPr="00C6247E" w:rsidRDefault="005A7A30" w:rsidP="005A7A30">
      <w:pPr>
        <w:spacing w:line="240" w:lineRule="auto"/>
        <w:ind w:firstLine="851"/>
      </w:pPr>
      <w:r w:rsidRPr="00C6247E">
        <w:t>В целях повышения качества предоставления муниципальных услуг в 2021 году продолжалась работа по предоставлению муниципальных услуг структурными подразделениями администрации района и подведомственными учреждениями в электронном виде с использованием Единого портала государственных и муниципальных услуг (функций).</w:t>
      </w:r>
    </w:p>
    <w:p w:rsidR="005A7A30" w:rsidRPr="00C6247E" w:rsidRDefault="005A7A30" w:rsidP="005A7A30">
      <w:pPr>
        <w:spacing w:line="240" w:lineRule="auto"/>
        <w:ind w:firstLine="851"/>
      </w:pPr>
      <w:r w:rsidRPr="00C6247E">
        <w:t>Администрацией Нижневартовского района и администрациями поселений района жителям оказано более 16,5 тыс. услуг. Муниципальные услуги оказываются в соответствии с утвержденными административными регламентами, по всем муниципальным услугам обеспечено электронное взаимодействие заявителя с органом, предоставляющим муниципальную услугу через единый портал государственных и муниципальных услуг.</w:t>
      </w:r>
    </w:p>
    <w:p w:rsidR="005A7A30" w:rsidRPr="00C6247E" w:rsidRDefault="005A7A30" w:rsidP="005A7A30">
      <w:pPr>
        <w:spacing w:line="240" w:lineRule="auto"/>
        <w:ind w:firstLine="851"/>
      </w:pPr>
      <w:r w:rsidRPr="00C6247E">
        <w:t xml:space="preserve">В целях повышения качества предоставления услуг, на территории района организовано оказание государственных и муниципальных услуг по принципу «одного окна» на базе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Нижневартовском районе (далее –МФЦ). Взаимодействие с органами власти, предоставляющими государственные и муниципальные услуги, осуществляется МФЦ без участия заявителя (обмен необходимыми документами, получение результата услуги для выдачи заявителям), по итогам 2021 года МФЦ оказано более </w:t>
      </w:r>
      <w:r w:rsidR="00A57925" w:rsidRPr="00C6247E">
        <w:t>52,9</w:t>
      </w:r>
      <w:r w:rsidRPr="00C6247E">
        <w:t xml:space="preserve"> </w:t>
      </w:r>
      <w:proofErr w:type="spellStart"/>
      <w:r w:rsidRPr="00C6247E">
        <w:t>тыс.услуг</w:t>
      </w:r>
      <w:proofErr w:type="spellEnd"/>
      <w:r w:rsidRPr="00C6247E">
        <w:t xml:space="preserve">. </w:t>
      </w:r>
    </w:p>
    <w:p w:rsidR="005A7A30" w:rsidRPr="00C6247E" w:rsidRDefault="005A7A30" w:rsidP="005A7A30">
      <w:pPr>
        <w:spacing w:line="240" w:lineRule="auto"/>
        <w:ind w:firstLine="851"/>
      </w:pPr>
      <w:r w:rsidRPr="00C6247E">
        <w:t>Для удобства граждан в многофункциональном центре работает окно по регистрации и подтверждению учетных записей в «личном кабинете» и восстановлению пароля на Едином портале государственных и муниципальных услуг (функций).</w:t>
      </w:r>
    </w:p>
    <w:p w:rsidR="005A7A30" w:rsidRPr="00C6247E" w:rsidRDefault="005A7A30" w:rsidP="005A7A30">
      <w:pPr>
        <w:pStyle w:val="a8"/>
        <w:spacing w:before="0" w:beforeAutospacing="0" w:after="0" w:afterAutospacing="0"/>
        <w:rPr>
          <w:color w:val="auto"/>
        </w:rPr>
      </w:pPr>
      <w:r w:rsidRPr="00C6247E">
        <w:rPr>
          <w:color w:val="auto"/>
        </w:rPr>
        <w:t xml:space="preserve">На базе МФЦ функционирует «окно для бизнеса» для обеспечения единой информационно - сервисной инфраструктуры, открытой для граждан, желающих начать и развивать собственное дело, а также позволяющей соблюдать обязательные требования к ведению бизнеса.  </w:t>
      </w:r>
    </w:p>
    <w:p w:rsidR="005A7A30" w:rsidRPr="00C6247E" w:rsidRDefault="005A7A30" w:rsidP="005A7A30">
      <w:pPr>
        <w:spacing w:line="240" w:lineRule="auto"/>
      </w:pPr>
      <w:bookmarkStart w:id="143" w:name="_Toc355022406"/>
      <w:bookmarkStart w:id="144" w:name="_Toc449539500"/>
      <w:r w:rsidRPr="00C6247E">
        <w:t>В сфере образования продолжена работа по внедрению инновационных образовательных программ, способствующих повышению качества и доступности образования.</w:t>
      </w:r>
      <w:bookmarkEnd w:id="143"/>
      <w:bookmarkEnd w:id="144"/>
    </w:p>
    <w:p w:rsidR="005A7A30" w:rsidRPr="00C6247E" w:rsidRDefault="005A7A30" w:rsidP="005A7A30">
      <w:pPr>
        <w:spacing w:line="240" w:lineRule="auto"/>
      </w:pPr>
      <w:bookmarkStart w:id="145" w:name="_Toc449539501"/>
      <w:bookmarkStart w:id="146" w:name="_Toc355022436"/>
      <w:r w:rsidRPr="00C6247E">
        <w:t>Доля общеобразовательных учреждений, включённых в процесс использования информационно-коммуникационных технологий, составляет 100%.</w:t>
      </w:r>
      <w:bookmarkStart w:id="147" w:name="_Toc449539502"/>
      <w:bookmarkEnd w:id="145"/>
      <w:r w:rsidRPr="00C6247E">
        <w:t xml:space="preserve">  В целях повышения доступности и открытости деятельности учреждений во всех общеобразовательных учреждениях района обеспечен доступ к высокоскоростным каналам связи</w:t>
      </w:r>
      <w:bookmarkEnd w:id="147"/>
      <w:r w:rsidRPr="00C6247E">
        <w:t>, а также функционируют официальные сайты учреждений</w:t>
      </w:r>
      <w:bookmarkStart w:id="148" w:name="_Toc449539503"/>
      <w:r w:rsidRPr="00C6247E">
        <w:t>.</w:t>
      </w:r>
      <w:bookmarkEnd w:id="148"/>
    </w:p>
    <w:p w:rsidR="005A7A30" w:rsidRPr="00C6247E" w:rsidRDefault="005A7A30" w:rsidP="005A7A30">
      <w:pPr>
        <w:spacing w:line="240" w:lineRule="auto"/>
      </w:pPr>
      <w:bookmarkStart w:id="149" w:name="_Toc449539504"/>
      <w:r w:rsidRPr="00C6247E">
        <w:t>Одним из важных направлений системы образования является обеспечение прав детей с ограниченными возможностями здоровья, в том числе детей-инвалидов. В 2021/2022 учебном году в образовательных учреждениях района обеспечено обучение 48 детей с ограниченными возможностям здоровья, 25 детей обучаются на дому по индивидуальным учебным планам.</w:t>
      </w:r>
      <w:bookmarkEnd w:id="149"/>
    </w:p>
    <w:p w:rsidR="005A7A30" w:rsidRPr="00C6247E" w:rsidRDefault="005A7A30" w:rsidP="005A7A30">
      <w:pPr>
        <w:spacing w:line="240" w:lineRule="auto"/>
      </w:pPr>
      <w:bookmarkStart w:id="150" w:name="_Toc449539507"/>
      <w:r w:rsidRPr="00C6247E">
        <w:t>В сфере культуры продолжалась работа, направленная на создание благоприятных условий для удовлетворения культурных потребностей жителей района и их творческой самореализации, нравственного и патриотического воспитания детей, подростков и молодежи, сохранения многонационального культурного пространства.</w:t>
      </w:r>
      <w:bookmarkEnd w:id="150"/>
    </w:p>
    <w:p w:rsidR="005A7A30" w:rsidRPr="00C6247E" w:rsidRDefault="005A7A30" w:rsidP="005A7A3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bookmarkStart w:id="151" w:name="_Toc355022419"/>
      <w:bookmarkStart w:id="152" w:name="_Toc355022423"/>
      <w:r w:rsidRPr="00C6247E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К сети Интернет подключены 20 учреждений культуры и искусства, 19 библиотек района.</w:t>
      </w:r>
      <w:bookmarkEnd w:id="151"/>
      <w:r w:rsidRPr="00C6247E">
        <w:rPr>
          <w:rFonts w:ascii="Times New Roman" w:hAnsi="Times New Roman" w:cs="Times New Roman"/>
          <w:bCs/>
          <w:kern w:val="36"/>
          <w:sz w:val="24"/>
          <w:szCs w:val="24"/>
        </w:rPr>
        <w:t xml:space="preserve"> За счет обновленной оргтехники и активизации деятельности сайтов учреждений ускорился обмен информацией с помощью компьютерных сетей, создаются электронные базы данных по различным направлениям деятельности, доступные для самых широких слоев населения.</w:t>
      </w:r>
    </w:p>
    <w:p w:rsidR="005A7A30" w:rsidRPr="00C6247E" w:rsidRDefault="005A7A30" w:rsidP="005A7A30">
      <w:pPr>
        <w:spacing w:line="240" w:lineRule="auto"/>
      </w:pPr>
      <w:bookmarkStart w:id="153" w:name="_Toc417898292"/>
      <w:bookmarkStart w:id="154" w:name="_Toc418156801"/>
      <w:bookmarkStart w:id="155" w:name="_Toc449539510"/>
      <w:bookmarkStart w:id="156" w:name="_Toc355022421"/>
      <w:r w:rsidRPr="00C6247E">
        <w:t>Значительное место в информационно-библиотечном обслуживании занимает Комплекс информационного библиотечного обслуживания (КИБО), техническое оснащение которого способствует обеспечению равного доступа к информации и услугам библиотек населения, в том числе лицам с ограниченными возможностями здоровья, вне зависимости от места проживания.</w:t>
      </w:r>
      <w:bookmarkEnd w:id="153"/>
      <w:bookmarkEnd w:id="154"/>
      <w:bookmarkEnd w:id="155"/>
    </w:p>
    <w:p w:rsidR="005A7A30" w:rsidRPr="00C6247E" w:rsidRDefault="005A7A30" w:rsidP="005A7A30">
      <w:pPr>
        <w:spacing w:line="240" w:lineRule="auto"/>
      </w:pPr>
      <w:bookmarkStart w:id="157" w:name="_Toc417898293"/>
      <w:bookmarkStart w:id="158" w:name="_Toc418156802"/>
      <w:bookmarkStart w:id="159" w:name="_Toc449539511"/>
      <w:bookmarkStart w:id="160" w:name="_Toc355022422"/>
      <w:bookmarkStart w:id="161" w:name="_Toc417898294"/>
      <w:bookmarkStart w:id="162" w:name="_Toc418156803"/>
      <w:bookmarkEnd w:id="156"/>
      <w:r w:rsidRPr="00C6247E">
        <w:t xml:space="preserve">В музеях района осуществляется перевод музейных фондов в электронные базы данных. </w:t>
      </w:r>
      <w:bookmarkEnd w:id="157"/>
      <w:bookmarkEnd w:id="158"/>
    </w:p>
    <w:p w:rsidR="005A7A30" w:rsidRPr="00C6247E" w:rsidRDefault="005A7A30" w:rsidP="005A7A30">
      <w:pPr>
        <w:spacing w:line="240" w:lineRule="auto"/>
      </w:pPr>
      <w:bookmarkStart w:id="163" w:name="_Toc449539514"/>
      <w:bookmarkStart w:id="164" w:name="_Toc449539521"/>
      <w:bookmarkEnd w:id="152"/>
      <w:bookmarkEnd w:id="159"/>
      <w:bookmarkEnd w:id="160"/>
      <w:bookmarkEnd w:id="161"/>
      <w:bookmarkEnd w:id="162"/>
      <w:r w:rsidRPr="00C6247E">
        <w:t xml:space="preserve">В области физической культуры и спорта особое внимание уделялось развитию массовой физической культуры и спорта, улучшению физического состояния жителей района и, в первую очередь, молодого поколения. </w:t>
      </w:r>
      <w:bookmarkStart w:id="165" w:name="_Toc355022425"/>
      <w:bookmarkStart w:id="166" w:name="_Toc449539515"/>
      <w:bookmarkEnd w:id="163"/>
    </w:p>
    <w:p w:rsidR="005A7A30" w:rsidRPr="00C6247E" w:rsidRDefault="005A7A30" w:rsidP="005A7A30">
      <w:pPr>
        <w:spacing w:line="240" w:lineRule="auto"/>
      </w:pPr>
      <w:r w:rsidRPr="00C6247E">
        <w:t xml:space="preserve">В целях развития информационно-коммуникационных технологий в сфере физической культуры, спорта действует информационный сайт. </w:t>
      </w:r>
      <w:bookmarkStart w:id="167" w:name="_Toc355022426"/>
      <w:bookmarkStart w:id="168" w:name="_Toc449539516"/>
      <w:bookmarkEnd w:id="165"/>
      <w:bookmarkEnd w:id="166"/>
      <w:r w:rsidRPr="00C6247E">
        <w:t>Учреждения физической культуры, спорта обеспечены информационно-консультационным программным обеспечением, а также подключением к сети Интернет.</w:t>
      </w:r>
      <w:bookmarkEnd w:id="167"/>
      <w:bookmarkEnd w:id="168"/>
    </w:p>
    <w:p w:rsidR="005A7A30" w:rsidRPr="00C6247E" w:rsidRDefault="005A7A30" w:rsidP="005A7A30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</w:rPr>
      </w:pPr>
      <w:bookmarkStart w:id="169" w:name="_Toc355022427"/>
      <w:bookmarkStart w:id="170" w:name="_Toc449539517"/>
      <w:r w:rsidRPr="00C6247E">
        <w:rPr>
          <w:rFonts w:ascii="Times New Roman" w:hAnsi="Times New Roman"/>
        </w:rPr>
        <w:t>Для лиц с ограниченными возможностями здоровья</w:t>
      </w:r>
      <w:bookmarkEnd w:id="169"/>
      <w:bookmarkEnd w:id="170"/>
      <w:r w:rsidRPr="00C6247E">
        <w:rPr>
          <w:rFonts w:ascii="Times New Roman" w:hAnsi="Times New Roman"/>
        </w:rPr>
        <w:t xml:space="preserve">, </w:t>
      </w:r>
      <w:bookmarkStart w:id="171" w:name="_Toc355022428"/>
      <w:bookmarkStart w:id="172" w:name="_Toc449539518"/>
      <w:r w:rsidRPr="00C6247E">
        <w:rPr>
          <w:rFonts w:ascii="Times New Roman" w:hAnsi="Times New Roman"/>
        </w:rPr>
        <w:t xml:space="preserve">на территории района работают отделения адаптивной физической культуры: в </w:t>
      </w:r>
      <w:proofErr w:type="spellStart"/>
      <w:r w:rsidRPr="00C6247E">
        <w:rPr>
          <w:rFonts w:ascii="Times New Roman" w:hAnsi="Times New Roman"/>
        </w:rPr>
        <w:t>пгт</w:t>
      </w:r>
      <w:proofErr w:type="spellEnd"/>
      <w:r w:rsidRPr="00C6247E">
        <w:rPr>
          <w:rFonts w:ascii="Times New Roman" w:hAnsi="Times New Roman"/>
        </w:rPr>
        <w:t xml:space="preserve">. </w:t>
      </w:r>
      <w:proofErr w:type="spellStart"/>
      <w:r w:rsidRPr="00C6247E">
        <w:rPr>
          <w:rFonts w:ascii="Times New Roman" w:hAnsi="Times New Roman"/>
        </w:rPr>
        <w:t>Излучинск</w:t>
      </w:r>
      <w:proofErr w:type="spellEnd"/>
      <w:r w:rsidRPr="00C6247E">
        <w:rPr>
          <w:rFonts w:ascii="Times New Roman" w:hAnsi="Times New Roman"/>
        </w:rPr>
        <w:t xml:space="preserve"> на базе муниципального автономного учреждения «Спортивная школа </w:t>
      </w:r>
      <w:proofErr w:type="spellStart"/>
      <w:r w:rsidRPr="00C6247E">
        <w:rPr>
          <w:rFonts w:ascii="Times New Roman" w:hAnsi="Times New Roman"/>
        </w:rPr>
        <w:t>Нижневартовского</w:t>
      </w:r>
      <w:proofErr w:type="spellEnd"/>
      <w:r w:rsidRPr="00C6247E">
        <w:rPr>
          <w:rFonts w:ascii="Times New Roman" w:hAnsi="Times New Roman"/>
        </w:rPr>
        <w:t xml:space="preserve"> района», в </w:t>
      </w:r>
      <w:proofErr w:type="spellStart"/>
      <w:r w:rsidRPr="00C6247E">
        <w:rPr>
          <w:rFonts w:ascii="Times New Roman" w:hAnsi="Times New Roman"/>
        </w:rPr>
        <w:t>пгт</w:t>
      </w:r>
      <w:proofErr w:type="spellEnd"/>
      <w:r w:rsidRPr="00C6247E">
        <w:rPr>
          <w:rFonts w:ascii="Times New Roman" w:hAnsi="Times New Roman"/>
        </w:rPr>
        <w:t>. Новоаганск на базе муниципального автономного учреждения «</w:t>
      </w:r>
      <w:proofErr w:type="spellStart"/>
      <w:r w:rsidRPr="00C6247E">
        <w:rPr>
          <w:rFonts w:ascii="Times New Roman" w:hAnsi="Times New Roman"/>
        </w:rPr>
        <w:t>Новоаганская</w:t>
      </w:r>
      <w:proofErr w:type="spellEnd"/>
      <w:r w:rsidRPr="00C6247E">
        <w:rPr>
          <w:rFonts w:ascii="Times New Roman" w:hAnsi="Times New Roman"/>
        </w:rPr>
        <w:t xml:space="preserve"> спортивная школа «Олимп», в которых занимаются 44 человека и 11 человек соответственно.</w:t>
      </w:r>
      <w:bookmarkStart w:id="173" w:name="_Toc355022429"/>
      <w:bookmarkStart w:id="174" w:name="_Toc449539519"/>
      <w:r w:rsidRPr="00C6247E">
        <w:rPr>
          <w:rFonts w:ascii="Times New Roman" w:hAnsi="Times New Roman"/>
          <w:color w:val="FFFFFF" w:themeColor="background1"/>
        </w:rPr>
        <w:t xml:space="preserve"> </w:t>
      </w:r>
      <w:r w:rsidRPr="00C6247E">
        <w:rPr>
          <w:rFonts w:ascii="Times New Roman" w:hAnsi="Times New Roman"/>
        </w:rPr>
        <w:t>Во дворце спорта «Югра» для занятий со спортсменами-инвалидами установлен сектор для метаний, в бассейне дворца спорта «Олимп» установлено устройство для опускания и подъема в бассейн, тренажер «Гросса». Отделения по адаптивной физической культуре и спорту для лиц с ограниченными возможностями здоровья реализуя программы физкультурно-оздоровительной направленности</w:t>
      </w:r>
      <w:r w:rsidR="00526F9E" w:rsidRPr="00C6247E">
        <w:rPr>
          <w:rFonts w:ascii="Times New Roman" w:hAnsi="Times New Roman"/>
        </w:rPr>
        <w:t>,</w:t>
      </w:r>
      <w:r w:rsidRPr="00C6247E">
        <w:rPr>
          <w:rFonts w:ascii="Times New Roman" w:hAnsi="Times New Roman"/>
        </w:rPr>
        <w:t xml:space="preserve"> решают задачи по привлечению инвалидов и других маломобильных групп населения к систематическим занятиям физической культурой и спортом.</w:t>
      </w:r>
      <w:bookmarkEnd w:id="173"/>
      <w:bookmarkEnd w:id="174"/>
    </w:p>
    <w:p w:rsidR="005A7A30" w:rsidRPr="00C6247E" w:rsidRDefault="005A7A30" w:rsidP="005A7A30">
      <w:pPr>
        <w:spacing w:line="240" w:lineRule="auto"/>
        <w:ind w:firstLine="708"/>
        <w:rPr>
          <w:szCs w:val="28"/>
        </w:rPr>
      </w:pPr>
      <w:bookmarkStart w:id="175" w:name="_Toc355022430"/>
      <w:r w:rsidRPr="00C6247E">
        <w:rPr>
          <w:szCs w:val="28"/>
        </w:rPr>
        <w:t xml:space="preserve">В целях развития физической культуры и спорта среди лиц с инвалидностью в населенных пунктах района ежегодно проводятся физкультурные мероприятия среди лиц с ограниченными возможностями по </w:t>
      </w:r>
      <w:proofErr w:type="spellStart"/>
      <w:r w:rsidRPr="00C6247E">
        <w:rPr>
          <w:szCs w:val="28"/>
        </w:rPr>
        <w:t>армспорту</w:t>
      </w:r>
      <w:proofErr w:type="spellEnd"/>
      <w:r w:rsidRPr="00C6247E">
        <w:rPr>
          <w:szCs w:val="28"/>
        </w:rPr>
        <w:t xml:space="preserve">, настольному теннису, толканию ядра, бегу </w:t>
      </w:r>
      <w:proofErr w:type="gramStart"/>
      <w:r w:rsidRPr="00C6247E">
        <w:rPr>
          <w:szCs w:val="28"/>
        </w:rPr>
        <w:t>на  60</w:t>
      </w:r>
      <w:proofErr w:type="gramEnd"/>
      <w:r w:rsidRPr="00C6247E">
        <w:rPr>
          <w:szCs w:val="28"/>
        </w:rPr>
        <w:t xml:space="preserve"> м, </w:t>
      </w:r>
      <w:proofErr w:type="spellStart"/>
      <w:r w:rsidRPr="00C6247E">
        <w:rPr>
          <w:szCs w:val="28"/>
        </w:rPr>
        <w:t>дартсу</w:t>
      </w:r>
      <w:proofErr w:type="spellEnd"/>
      <w:r w:rsidRPr="00C6247E">
        <w:rPr>
          <w:szCs w:val="28"/>
        </w:rPr>
        <w:t xml:space="preserve">, жиму штанги лежа, прыжку в длину с места, шахматам, шашкам, </w:t>
      </w:r>
      <w:proofErr w:type="spellStart"/>
      <w:r w:rsidRPr="00C6247E">
        <w:rPr>
          <w:szCs w:val="28"/>
        </w:rPr>
        <w:t>бочче</w:t>
      </w:r>
      <w:proofErr w:type="spellEnd"/>
      <w:r w:rsidRPr="00C6247E">
        <w:rPr>
          <w:szCs w:val="28"/>
        </w:rPr>
        <w:t>.</w:t>
      </w:r>
      <w:bookmarkEnd w:id="175"/>
    </w:p>
    <w:bookmarkEnd w:id="171"/>
    <w:bookmarkEnd w:id="172"/>
    <w:p w:rsidR="005A7A30" w:rsidRPr="00C6247E" w:rsidRDefault="005A7A30" w:rsidP="005A7A30">
      <w:pPr>
        <w:spacing w:line="240" w:lineRule="auto"/>
      </w:pPr>
      <w:r w:rsidRPr="00C6247E">
        <w:t xml:space="preserve">По результатам ежегодных социологических опросов, доля </w:t>
      </w:r>
      <w:proofErr w:type="gramStart"/>
      <w:r w:rsidRPr="00C6247E">
        <w:t>населения</w:t>
      </w:r>
      <w:proofErr w:type="gramEnd"/>
      <w:r w:rsidRPr="00C6247E">
        <w:t xml:space="preserve"> удовлетворенного качеством муниципальных услуг, в сферах образования, культуры и физической культуры и спорта составила – 96,0 %</w:t>
      </w:r>
      <w:bookmarkEnd w:id="146"/>
      <w:bookmarkEnd w:id="164"/>
      <w:r w:rsidRPr="00C6247E">
        <w:t>.</w:t>
      </w:r>
    </w:p>
    <w:p w:rsidR="005A7A30" w:rsidRPr="00C6247E" w:rsidRDefault="005A7A30" w:rsidP="005A7A30">
      <w:pPr>
        <w:spacing w:line="240" w:lineRule="auto"/>
      </w:pPr>
      <w:bookmarkStart w:id="176" w:name="_Toc417898286"/>
      <w:bookmarkStart w:id="177" w:name="_Toc418156795"/>
      <w:bookmarkStart w:id="178" w:name="_Toc449539508"/>
      <w:r w:rsidRPr="00C6247E">
        <w:t xml:space="preserve">В 2021 году в Нижневартовском районе обеспеченность учреждений образования, культуры и искусства, физической культуры и спорта, оборудованных пандусами и поручнями, в целях доступности услуг лицам с ограниченными возможностями здоровья, </w:t>
      </w:r>
      <w:bookmarkEnd w:id="176"/>
      <w:bookmarkEnd w:id="177"/>
      <w:bookmarkEnd w:id="178"/>
      <w:r w:rsidRPr="00C6247E">
        <w:t>составила 100 %.</w:t>
      </w:r>
    </w:p>
    <w:p w:rsidR="005A7A30" w:rsidRDefault="005A7A30" w:rsidP="005A7A30">
      <w:pPr>
        <w:spacing w:line="240" w:lineRule="auto"/>
      </w:pPr>
      <w:r w:rsidRPr="00C6247E">
        <w:t>По результатам социологического исследования уровень удовлетворенности граждан качеством предоставления государственных и муниципальных услуг в Нижневартовском районе составил 99,0%.</w:t>
      </w:r>
      <w:r>
        <w:t xml:space="preserve"> </w:t>
      </w:r>
    </w:p>
    <w:p w:rsidR="00A33191" w:rsidRDefault="00A33191" w:rsidP="00556BF1">
      <w:pPr>
        <w:pStyle w:val="1"/>
        <w:keepNext w:val="0"/>
        <w:keepLines w:val="0"/>
        <w:spacing w:line="240" w:lineRule="auto"/>
        <w:ind w:firstLine="0"/>
      </w:pPr>
    </w:p>
    <w:sectPr w:rsidR="00A33191" w:rsidSect="00A3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5AA" w:rsidRDefault="00CC35AA" w:rsidP="003017AB">
      <w:pPr>
        <w:spacing w:line="240" w:lineRule="auto"/>
      </w:pPr>
      <w:r>
        <w:separator/>
      </w:r>
    </w:p>
  </w:endnote>
  <w:endnote w:type="continuationSeparator" w:id="0">
    <w:p w:rsidR="00CC35AA" w:rsidRDefault="00CC35AA" w:rsidP="00301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AA" w:rsidRPr="003F3FA2" w:rsidRDefault="00CC35AA" w:rsidP="003017AB">
    <w:pPr>
      <w:pStyle w:val="af0"/>
      <w:tabs>
        <w:tab w:val="left" w:pos="1740"/>
        <w:tab w:val="center" w:pos="5031"/>
      </w:tabs>
      <w:ind w:firstLine="0"/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180975" cy="223520"/>
          <wp:effectExtent l="19050" t="0" r="9525" b="0"/>
          <wp:docPr id="1" name="Рисунок 1" descr="image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223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50C72">
      <w:rPr>
        <w:b/>
        <w:i/>
        <w:highlight w:val="yellow"/>
      </w:rPr>
      <w:t>Муниципальное образование Нижневартовский район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5AA" w:rsidRDefault="00CC35AA" w:rsidP="003017AB">
      <w:pPr>
        <w:spacing w:line="240" w:lineRule="auto"/>
      </w:pPr>
      <w:r>
        <w:separator/>
      </w:r>
    </w:p>
  </w:footnote>
  <w:footnote w:type="continuationSeparator" w:id="0">
    <w:p w:rsidR="00CC35AA" w:rsidRDefault="00CC35AA" w:rsidP="00301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9196"/>
      <w:docPartObj>
        <w:docPartGallery w:val="Page Numbers (Top of Page)"/>
        <w:docPartUnique/>
      </w:docPartObj>
    </w:sdtPr>
    <w:sdtEndPr/>
    <w:sdtContent>
      <w:p w:rsidR="00CC35AA" w:rsidRDefault="00CC35AA" w:rsidP="00C36488">
        <w:pPr>
          <w:pStyle w:val="ae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CF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76E11"/>
    <w:multiLevelType w:val="multilevel"/>
    <w:tmpl w:val="85AC8F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F15776"/>
    <w:multiLevelType w:val="multilevel"/>
    <w:tmpl w:val="98BC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903DEE"/>
    <w:multiLevelType w:val="hybridMultilevel"/>
    <w:tmpl w:val="0D34D534"/>
    <w:lvl w:ilvl="0" w:tplc="897CBE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A64C5D"/>
    <w:multiLevelType w:val="hybridMultilevel"/>
    <w:tmpl w:val="85C8D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8D"/>
    <w:rsid w:val="00001718"/>
    <w:rsid w:val="000032F9"/>
    <w:rsid w:val="0000691B"/>
    <w:rsid w:val="00010441"/>
    <w:rsid w:val="00010901"/>
    <w:rsid w:val="0001238F"/>
    <w:rsid w:val="00016DCD"/>
    <w:rsid w:val="00020335"/>
    <w:rsid w:val="00020C59"/>
    <w:rsid w:val="000217C6"/>
    <w:rsid w:val="0002376D"/>
    <w:rsid w:val="000238DB"/>
    <w:rsid w:val="000242B8"/>
    <w:rsid w:val="000242C2"/>
    <w:rsid w:val="00030617"/>
    <w:rsid w:val="00030F23"/>
    <w:rsid w:val="00031903"/>
    <w:rsid w:val="00031EB9"/>
    <w:rsid w:val="00033E49"/>
    <w:rsid w:val="0003407D"/>
    <w:rsid w:val="000349E0"/>
    <w:rsid w:val="0003640D"/>
    <w:rsid w:val="000372B2"/>
    <w:rsid w:val="0003777B"/>
    <w:rsid w:val="00040C52"/>
    <w:rsid w:val="00044B5D"/>
    <w:rsid w:val="0004648E"/>
    <w:rsid w:val="0005031A"/>
    <w:rsid w:val="000504CB"/>
    <w:rsid w:val="00051C5C"/>
    <w:rsid w:val="000532EA"/>
    <w:rsid w:val="0005456D"/>
    <w:rsid w:val="000558A8"/>
    <w:rsid w:val="00055C45"/>
    <w:rsid w:val="00057EC7"/>
    <w:rsid w:val="00060769"/>
    <w:rsid w:val="00061AB1"/>
    <w:rsid w:val="000661AF"/>
    <w:rsid w:val="00066349"/>
    <w:rsid w:val="00070765"/>
    <w:rsid w:val="0007136F"/>
    <w:rsid w:val="000729A9"/>
    <w:rsid w:val="00072CA8"/>
    <w:rsid w:val="00072D2D"/>
    <w:rsid w:val="000735B6"/>
    <w:rsid w:val="00074335"/>
    <w:rsid w:val="00074422"/>
    <w:rsid w:val="00075AE4"/>
    <w:rsid w:val="0007627F"/>
    <w:rsid w:val="00080568"/>
    <w:rsid w:val="000812D3"/>
    <w:rsid w:val="00082DA9"/>
    <w:rsid w:val="00083543"/>
    <w:rsid w:val="000837E9"/>
    <w:rsid w:val="00084BC2"/>
    <w:rsid w:val="0008667E"/>
    <w:rsid w:val="000937AA"/>
    <w:rsid w:val="0009556D"/>
    <w:rsid w:val="000967F7"/>
    <w:rsid w:val="00096CE5"/>
    <w:rsid w:val="000A03AE"/>
    <w:rsid w:val="000A2AC4"/>
    <w:rsid w:val="000A33CB"/>
    <w:rsid w:val="000A356B"/>
    <w:rsid w:val="000A3CD4"/>
    <w:rsid w:val="000A441F"/>
    <w:rsid w:val="000A684B"/>
    <w:rsid w:val="000A69B3"/>
    <w:rsid w:val="000B0C59"/>
    <w:rsid w:val="000B0FA1"/>
    <w:rsid w:val="000B2263"/>
    <w:rsid w:val="000B2ACF"/>
    <w:rsid w:val="000B2E40"/>
    <w:rsid w:val="000B37B2"/>
    <w:rsid w:val="000B3FC6"/>
    <w:rsid w:val="000B6B53"/>
    <w:rsid w:val="000B74C0"/>
    <w:rsid w:val="000B7E63"/>
    <w:rsid w:val="000C02F6"/>
    <w:rsid w:val="000C04A9"/>
    <w:rsid w:val="000C1A7F"/>
    <w:rsid w:val="000C4936"/>
    <w:rsid w:val="000C5452"/>
    <w:rsid w:val="000C670F"/>
    <w:rsid w:val="000C6FC8"/>
    <w:rsid w:val="000C72E3"/>
    <w:rsid w:val="000C7C52"/>
    <w:rsid w:val="000D046F"/>
    <w:rsid w:val="000D0EB1"/>
    <w:rsid w:val="000D14C6"/>
    <w:rsid w:val="000D1F4E"/>
    <w:rsid w:val="000D2470"/>
    <w:rsid w:val="000D2870"/>
    <w:rsid w:val="000D5A8F"/>
    <w:rsid w:val="000D5C4D"/>
    <w:rsid w:val="000D7BF5"/>
    <w:rsid w:val="000E0F6C"/>
    <w:rsid w:val="000E67ED"/>
    <w:rsid w:val="000E692B"/>
    <w:rsid w:val="000E7E56"/>
    <w:rsid w:val="000F02BC"/>
    <w:rsid w:val="000F0A1E"/>
    <w:rsid w:val="000F0E57"/>
    <w:rsid w:val="000F1776"/>
    <w:rsid w:val="000F3EFF"/>
    <w:rsid w:val="000F4E04"/>
    <w:rsid w:val="000F5185"/>
    <w:rsid w:val="000F7128"/>
    <w:rsid w:val="000F78A9"/>
    <w:rsid w:val="000F7ABD"/>
    <w:rsid w:val="000F7D83"/>
    <w:rsid w:val="00101753"/>
    <w:rsid w:val="00101817"/>
    <w:rsid w:val="00101D83"/>
    <w:rsid w:val="00102EC8"/>
    <w:rsid w:val="00104304"/>
    <w:rsid w:val="0010616E"/>
    <w:rsid w:val="001075DC"/>
    <w:rsid w:val="001079D9"/>
    <w:rsid w:val="00110040"/>
    <w:rsid w:val="001105B3"/>
    <w:rsid w:val="00112F11"/>
    <w:rsid w:val="00113FFB"/>
    <w:rsid w:val="00114C14"/>
    <w:rsid w:val="00115178"/>
    <w:rsid w:val="001151BD"/>
    <w:rsid w:val="001171C6"/>
    <w:rsid w:val="001200FA"/>
    <w:rsid w:val="00120254"/>
    <w:rsid w:val="00120A79"/>
    <w:rsid w:val="0012404A"/>
    <w:rsid w:val="0012677F"/>
    <w:rsid w:val="001277AB"/>
    <w:rsid w:val="0013014D"/>
    <w:rsid w:val="00130A5C"/>
    <w:rsid w:val="00130FBB"/>
    <w:rsid w:val="001314B1"/>
    <w:rsid w:val="00131E57"/>
    <w:rsid w:val="00132237"/>
    <w:rsid w:val="00132B2D"/>
    <w:rsid w:val="001339E3"/>
    <w:rsid w:val="00137701"/>
    <w:rsid w:val="001424FE"/>
    <w:rsid w:val="00144479"/>
    <w:rsid w:val="00146268"/>
    <w:rsid w:val="001462BC"/>
    <w:rsid w:val="00147169"/>
    <w:rsid w:val="00147686"/>
    <w:rsid w:val="001478C1"/>
    <w:rsid w:val="00147C55"/>
    <w:rsid w:val="0015042F"/>
    <w:rsid w:val="00151371"/>
    <w:rsid w:val="001544CA"/>
    <w:rsid w:val="001554F1"/>
    <w:rsid w:val="00157A12"/>
    <w:rsid w:val="00157F3C"/>
    <w:rsid w:val="001613D9"/>
    <w:rsid w:val="00163CB4"/>
    <w:rsid w:val="00165CE4"/>
    <w:rsid w:val="00166410"/>
    <w:rsid w:val="00167B52"/>
    <w:rsid w:val="00167E53"/>
    <w:rsid w:val="001709B5"/>
    <w:rsid w:val="001738B3"/>
    <w:rsid w:val="001753A1"/>
    <w:rsid w:val="00175DCE"/>
    <w:rsid w:val="00175E5D"/>
    <w:rsid w:val="001766D7"/>
    <w:rsid w:val="00177370"/>
    <w:rsid w:val="00177765"/>
    <w:rsid w:val="00180884"/>
    <w:rsid w:val="00180DF8"/>
    <w:rsid w:val="001812D0"/>
    <w:rsid w:val="001836BE"/>
    <w:rsid w:val="00183735"/>
    <w:rsid w:val="0018671B"/>
    <w:rsid w:val="00186D96"/>
    <w:rsid w:val="0019025B"/>
    <w:rsid w:val="00191990"/>
    <w:rsid w:val="00196651"/>
    <w:rsid w:val="0019715D"/>
    <w:rsid w:val="001A3AE9"/>
    <w:rsid w:val="001A3D45"/>
    <w:rsid w:val="001A72CD"/>
    <w:rsid w:val="001B01CC"/>
    <w:rsid w:val="001B2509"/>
    <w:rsid w:val="001B272C"/>
    <w:rsid w:val="001B4527"/>
    <w:rsid w:val="001B58E4"/>
    <w:rsid w:val="001B7677"/>
    <w:rsid w:val="001C08DE"/>
    <w:rsid w:val="001C0B53"/>
    <w:rsid w:val="001C1C72"/>
    <w:rsid w:val="001C43F8"/>
    <w:rsid w:val="001D2AA2"/>
    <w:rsid w:val="001D2C6B"/>
    <w:rsid w:val="001D4FC5"/>
    <w:rsid w:val="001E2A31"/>
    <w:rsid w:val="001E305A"/>
    <w:rsid w:val="001F19C4"/>
    <w:rsid w:val="001F3E4F"/>
    <w:rsid w:val="001F4096"/>
    <w:rsid w:val="001F5521"/>
    <w:rsid w:val="001F7AA1"/>
    <w:rsid w:val="001F7CA2"/>
    <w:rsid w:val="001F7E95"/>
    <w:rsid w:val="00203258"/>
    <w:rsid w:val="00205E27"/>
    <w:rsid w:val="00207B9B"/>
    <w:rsid w:val="00212214"/>
    <w:rsid w:val="00212402"/>
    <w:rsid w:val="00213644"/>
    <w:rsid w:val="0021586F"/>
    <w:rsid w:val="00216794"/>
    <w:rsid w:val="0021703C"/>
    <w:rsid w:val="002301B2"/>
    <w:rsid w:val="00230DFF"/>
    <w:rsid w:val="00233CE4"/>
    <w:rsid w:val="002345A2"/>
    <w:rsid w:val="002346C1"/>
    <w:rsid w:val="00234A40"/>
    <w:rsid w:val="00235927"/>
    <w:rsid w:val="00236BCF"/>
    <w:rsid w:val="0023785C"/>
    <w:rsid w:val="002405A1"/>
    <w:rsid w:val="00240C01"/>
    <w:rsid w:val="00241331"/>
    <w:rsid w:val="002419B7"/>
    <w:rsid w:val="00241F66"/>
    <w:rsid w:val="00250B92"/>
    <w:rsid w:val="00251367"/>
    <w:rsid w:val="00252F5A"/>
    <w:rsid w:val="00253510"/>
    <w:rsid w:val="00254288"/>
    <w:rsid w:val="00257874"/>
    <w:rsid w:val="00260502"/>
    <w:rsid w:val="0026099F"/>
    <w:rsid w:val="002631A3"/>
    <w:rsid w:val="002637DC"/>
    <w:rsid w:val="002657FE"/>
    <w:rsid w:val="00266DA8"/>
    <w:rsid w:val="00276560"/>
    <w:rsid w:val="0027767E"/>
    <w:rsid w:val="00277CF5"/>
    <w:rsid w:val="00282517"/>
    <w:rsid w:val="0028423A"/>
    <w:rsid w:val="002862C3"/>
    <w:rsid w:val="0028775C"/>
    <w:rsid w:val="00287810"/>
    <w:rsid w:val="00290083"/>
    <w:rsid w:val="002959F7"/>
    <w:rsid w:val="002966E5"/>
    <w:rsid w:val="002A03C7"/>
    <w:rsid w:val="002A0629"/>
    <w:rsid w:val="002A1CCC"/>
    <w:rsid w:val="002A3CA1"/>
    <w:rsid w:val="002A7DA9"/>
    <w:rsid w:val="002B0D7F"/>
    <w:rsid w:val="002B2C4D"/>
    <w:rsid w:val="002B3251"/>
    <w:rsid w:val="002B58BF"/>
    <w:rsid w:val="002B5F61"/>
    <w:rsid w:val="002B6E64"/>
    <w:rsid w:val="002C19AB"/>
    <w:rsid w:val="002C5DF5"/>
    <w:rsid w:val="002C6CA1"/>
    <w:rsid w:val="002D2A4F"/>
    <w:rsid w:val="002D3C59"/>
    <w:rsid w:val="002D5868"/>
    <w:rsid w:val="002E34A8"/>
    <w:rsid w:val="002E3616"/>
    <w:rsid w:val="002E4B71"/>
    <w:rsid w:val="002E5445"/>
    <w:rsid w:val="002E5681"/>
    <w:rsid w:val="002E723E"/>
    <w:rsid w:val="002E7EB9"/>
    <w:rsid w:val="002F6E19"/>
    <w:rsid w:val="003014D3"/>
    <w:rsid w:val="003017AB"/>
    <w:rsid w:val="003018AE"/>
    <w:rsid w:val="003023F8"/>
    <w:rsid w:val="00302402"/>
    <w:rsid w:val="00303429"/>
    <w:rsid w:val="00303AE7"/>
    <w:rsid w:val="00303EF2"/>
    <w:rsid w:val="00305241"/>
    <w:rsid w:val="00306F34"/>
    <w:rsid w:val="0030724A"/>
    <w:rsid w:val="0031114F"/>
    <w:rsid w:val="00313775"/>
    <w:rsid w:val="0031630C"/>
    <w:rsid w:val="00316E91"/>
    <w:rsid w:val="00317403"/>
    <w:rsid w:val="00320F58"/>
    <w:rsid w:val="0032192B"/>
    <w:rsid w:val="00321A43"/>
    <w:rsid w:val="00321E1B"/>
    <w:rsid w:val="00324D4D"/>
    <w:rsid w:val="003254BA"/>
    <w:rsid w:val="00327915"/>
    <w:rsid w:val="0033122E"/>
    <w:rsid w:val="003319F4"/>
    <w:rsid w:val="00332E6A"/>
    <w:rsid w:val="00335AED"/>
    <w:rsid w:val="00336187"/>
    <w:rsid w:val="003376B8"/>
    <w:rsid w:val="0034083C"/>
    <w:rsid w:val="003408EB"/>
    <w:rsid w:val="00340AD3"/>
    <w:rsid w:val="00343BA4"/>
    <w:rsid w:val="00343D32"/>
    <w:rsid w:val="0034526D"/>
    <w:rsid w:val="003475BA"/>
    <w:rsid w:val="0034769D"/>
    <w:rsid w:val="0035148C"/>
    <w:rsid w:val="00351907"/>
    <w:rsid w:val="00354922"/>
    <w:rsid w:val="003549D1"/>
    <w:rsid w:val="00355C76"/>
    <w:rsid w:val="003607D1"/>
    <w:rsid w:val="003619A8"/>
    <w:rsid w:val="00362313"/>
    <w:rsid w:val="00362382"/>
    <w:rsid w:val="003631A3"/>
    <w:rsid w:val="00363CB7"/>
    <w:rsid w:val="00370EAD"/>
    <w:rsid w:val="00372441"/>
    <w:rsid w:val="00374F12"/>
    <w:rsid w:val="0037570D"/>
    <w:rsid w:val="00375CA0"/>
    <w:rsid w:val="003760C8"/>
    <w:rsid w:val="0037703A"/>
    <w:rsid w:val="00380FB6"/>
    <w:rsid w:val="00382FCC"/>
    <w:rsid w:val="003843B6"/>
    <w:rsid w:val="00386599"/>
    <w:rsid w:val="00390515"/>
    <w:rsid w:val="00391E74"/>
    <w:rsid w:val="003942F2"/>
    <w:rsid w:val="00395B1F"/>
    <w:rsid w:val="003A0624"/>
    <w:rsid w:val="003A110C"/>
    <w:rsid w:val="003A2F30"/>
    <w:rsid w:val="003A60DE"/>
    <w:rsid w:val="003A7D79"/>
    <w:rsid w:val="003B009F"/>
    <w:rsid w:val="003B00BD"/>
    <w:rsid w:val="003B1247"/>
    <w:rsid w:val="003B35C1"/>
    <w:rsid w:val="003B3F12"/>
    <w:rsid w:val="003B492F"/>
    <w:rsid w:val="003B4AD5"/>
    <w:rsid w:val="003B5F46"/>
    <w:rsid w:val="003C1A8D"/>
    <w:rsid w:val="003C507A"/>
    <w:rsid w:val="003C6F9B"/>
    <w:rsid w:val="003D0031"/>
    <w:rsid w:val="003D09C8"/>
    <w:rsid w:val="003D1283"/>
    <w:rsid w:val="003D153B"/>
    <w:rsid w:val="003D2D53"/>
    <w:rsid w:val="003D3D85"/>
    <w:rsid w:val="003D7A39"/>
    <w:rsid w:val="003E38E4"/>
    <w:rsid w:val="003E5548"/>
    <w:rsid w:val="003E6B2A"/>
    <w:rsid w:val="003E71B5"/>
    <w:rsid w:val="003F0F33"/>
    <w:rsid w:val="003F5610"/>
    <w:rsid w:val="003F68E4"/>
    <w:rsid w:val="003F739C"/>
    <w:rsid w:val="00400056"/>
    <w:rsid w:val="004019D8"/>
    <w:rsid w:val="004052DB"/>
    <w:rsid w:val="00405F2F"/>
    <w:rsid w:val="00411527"/>
    <w:rsid w:val="004132A7"/>
    <w:rsid w:val="00414537"/>
    <w:rsid w:val="00415EA9"/>
    <w:rsid w:val="00416348"/>
    <w:rsid w:val="00420951"/>
    <w:rsid w:val="00420970"/>
    <w:rsid w:val="00424534"/>
    <w:rsid w:val="004261BE"/>
    <w:rsid w:val="0042693B"/>
    <w:rsid w:val="004278C9"/>
    <w:rsid w:val="004305B3"/>
    <w:rsid w:val="00430A6F"/>
    <w:rsid w:val="00431235"/>
    <w:rsid w:val="00432268"/>
    <w:rsid w:val="00433EEF"/>
    <w:rsid w:val="0043472D"/>
    <w:rsid w:val="0043636F"/>
    <w:rsid w:val="00436771"/>
    <w:rsid w:val="00436A49"/>
    <w:rsid w:val="004415B7"/>
    <w:rsid w:val="00441738"/>
    <w:rsid w:val="00441CA6"/>
    <w:rsid w:val="00441CF3"/>
    <w:rsid w:val="00441F1E"/>
    <w:rsid w:val="0044259B"/>
    <w:rsid w:val="00450E50"/>
    <w:rsid w:val="00452FE9"/>
    <w:rsid w:val="004543D7"/>
    <w:rsid w:val="0045497F"/>
    <w:rsid w:val="004562C7"/>
    <w:rsid w:val="00457C03"/>
    <w:rsid w:val="00460E5D"/>
    <w:rsid w:val="00461E4A"/>
    <w:rsid w:val="004659C6"/>
    <w:rsid w:val="00466E97"/>
    <w:rsid w:val="004672D2"/>
    <w:rsid w:val="004677EC"/>
    <w:rsid w:val="00470653"/>
    <w:rsid w:val="00472106"/>
    <w:rsid w:val="0047739F"/>
    <w:rsid w:val="004774C5"/>
    <w:rsid w:val="00480A85"/>
    <w:rsid w:val="00481B78"/>
    <w:rsid w:val="00483078"/>
    <w:rsid w:val="00485BC6"/>
    <w:rsid w:val="00485F57"/>
    <w:rsid w:val="00486A1F"/>
    <w:rsid w:val="0049088E"/>
    <w:rsid w:val="004972D6"/>
    <w:rsid w:val="004A10BA"/>
    <w:rsid w:val="004A38CC"/>
    <w:rsid w:val="004A4C16"/>
    <w:rsid w:val="004B12C8"/>
    <w:rsid w:val="004B1D2A"/>
    <w:rsid w:val="004B3A64"/>
    <w:rsid w:val="004B5A90"/>
    <w:rsid w:val="004B79F0"/>
    <w:rsid w:val="004B7C61"/>
    <w:rsid w:val="004C041D"/>
    <w:rsid w:val="004C1574"/>
    <w:rsid w:val="004C1E91"/>
    <w:rsid w:val="004C33C5"/>
    <w:rsid w:val="004C3506"/>
    <w:rsid w:val="004C744A"/>
    <w:rsid w:val="004D1C01"/>
    <w:rsid w:val="004D3B35"/>
    <w:rsid w:val="004D48A1"/>
    <w:rsid w:val="004D4BEE"/>
    <w:rsid w:val="004D54EC"/>
    <w:rsid w:val="004D5A85"/>
    <w:rsid w:val="004D6921"/>
    <w:rsid w:val="004D74A0"/>
    <w:rsid w:val="004D7A5E"/>
    <w:rsid w:val="004E00C8"/>
    <w:rsid w:val="004E0C14"/>
    <w:rsid w:val="004E20D8"/>
    <w:rsid w:val="004E21AB"/>
    <w:rsid w:val="004E2564"/>
    <w:rsid w:val="004E32F9"/>
    <w:rsid w:val="004E5C39"/>
    <w:rsid w:val="004E5D03"/>
    <w:rsid w:val="004E6461"/>
    <w:rsid w:val="004E74A2"/>
    <w:rsid w:val="004E752E"/>
    <w:rsid w:val="004E7A35"/>
    <w:rsid w:val="004F0FC4"/>
    <w:rsid w:val="004F1277"/>
    <w:rsid w:val="004F1C00"/>
    <w:rsid w:val="004F22EF"/>
    <w:rsid w:val="004F2F9C"/>
    <w:rsid w:val="004F456E"/>
    <w:rsid w:val="004F6890"/>
    <w:rsid w:val="004F7DDC"/>
    <w:rsid w:val="00501AF6"/>
    <w:rsid w:val="00504C30"/>
    <w:rsid w:val="00506909"/>
    <w:rsid w:val="005107F6"/>
    <w:rsid w:val="00510D7A"/>
    <w:rsid w:val="00513DCF"/>
    <w:rsid w:val="0051547B"/>
    <w:rsid w:val="005164A1"/>
    <w:rsid w:val="0051689B"/>
    <w:rsid w:val="005228BD"/>
    <w:rsid w:val="00523B9F"/>
    <w:rsid w:val="00524555"/>
    <w:rsid w:val="00524E73"/>
    <w:rsid w:val="00526C06"/>
    <w:rsid w:val="00526F9E"/>
    <w:rsid w:val="005302F3"/>
    <w:rsid w:val="00534E7E"/>
    <w:rsid w:val="00536278"/>
    <w:rsid w:val="00541E1B"/>
    <w:rsid w:val="005436CD"/>
    <w:rsid w:val="00546CDC"/>
    <w:rsid w:val="00547CDE"/>
    <w:rsid w:val="005502B6"/>
    <w:rsid w:val="0055061E"/>
    <w:rsid w:val="00552F96"/>
    <w:rsid w:val="00553E9C"/>
    <w:rsid w:val="0055450B"/>
    <w:rsid w:val="005550A4"/>
    <w:rsid w:val="005568B9"/>
    <w:rsid w:val="00556BF1"/>
    <w:rsid w:val="00557341"/>
    <w:rsid w:val="00560152"/>
    <w:rsid w:val="00560BF1"/>
    <w:rsid w:val="005612C3"/>
    <w:rsid w:val="00561519"/>
    <w:rsid w:val="00561DCA"/>
    <w:rsid w:val="00562CB7"/>
    <w:rsid w:val="00562CB8"/>
    <w:rsid w:val="005646DB"/>
    <w:rsid w:val="00565E74"/>
    <w:rsid w:val="005661CB"/>
    <w:rsid w:val="005664FC"/>
    <w:rsid w:val="00567A0F"/>
    <w:rsid w:val="00567C23"/>
    <w:rsid w:val="00570163"/>
    <w:rsid w:val="00570D37"/>
    <w:rsid w:val="005717F3"/>
    <w:rsid w:val="00572A5C"/>
    <w:rsid w:val="00572CF2"/>
    <w:rsid w:val="0057307D"/>
    <w:rsid w:val="005737F1"/>
    <w:rsid w:val="00574489"/>
    <w:rsid w:val="00574CBF"/>
    <w:rsid w:val="00575079"/>
    <w:rsid w:val="00575F89"/>
    <w:rsid w:val="00580F0E"/>
    <w:rsid w:val="00582272"/>
    <w:rsid w:val="00583416"/>
    <w:rsid w:val="00583D73"/>
    <w:rsid w:val="00583EC3"/>
    <w:rsid w:val="00586F6B"/>
    <w:rsid w:val="005876D2"/>
    <w:rsid w:val="0058788C"/>
    <w:rsid w:val="00591954"/>
    <w:rsid w:val="00592424"/>
    <w:rsid w:val="005966DA"/>
    <w:rsid w:val="005979FB"/>
    <w:rsid w:val="005A044A"/>
    <w:rsid w:val="005A141A"/>
    <w:rsid w:val="005A276A"/>
    <w:rsid w:val="005A44AB"/>
    <w:rsid w:val="005A62F8"/>
    <w:rsid w:val="005A7A30"/>
    <w:rsid w:val="005B3B8F"/>
    <w:rsid w:val="005B438C"/>
    <w:rsid w:val="005B57AC"/>
    <w:rsid w:val="005B5D2B"/>
    <w:rsid w:val="005B6D32"/>
    <w:rsid w:val="005B76E9"/>
    <w:rsid w:val="005C07F9"/>
    <w:rsid w:val="005C38E4"/>
    <w:rsid w:val="005C3E78"/>
    <w:rsid w:val="005C4AF3"/>
    <w:rsid w:val="005C6721"/>
    <w:rsid w:val="005C67B1"/>
    <w:rsid w:val="005C7C19"/>
    <w:rsid w:val="005D59DF"/>
    <w:rsid w:val="005E0540"/>
    <w:rsid w:val="005E0C67"/>
    <w:rsid w:val="005E10F9"/>
    <w:rsid w:val="005E1567"/>
    <w:rsid w:val="005E3193"/>
    <w:rsid w:val="005E54D8"/>
    <w:rsid w:val="005E6C53"/>
    <w:rsid w:val="005E7033"/>
    <w:rsid w:val="005F1472"/>
    <w:rsid w:val="005F563D"/>
    <w:rsid w:val="005F5FF8"/>
    <w:rsid w:val="005F6D99"/>
    <w:rsid w:val="005F7CF3"/>
    <w:rsid w:val="00602193"/>
    <w:rsid w:val="00602A4B"/>
    <w:rsid w:val="006058A1"/>
    <w:rsid w:val="00605D3C"/>
    <w:rsid w:val="0060725A"/>
    <w:rsid w:val="00607CA6"/>
    <w:rsid w:val="006106EC"/>
    <w:rsid w:val="006112DF"/>
    <w:rsid w:val="00613D6F"/>
    <w:rsid w:val="0061566C"/>
    <w:rsid w:val="00616540"/>
    <w:rsid w:val="00616C83"/>
    <w:rsid w:val="00617004"/>
    <w:rsid w:val="006201A6"/>
    <w:rsid w:val="00623DAA"/>
    <w:rsid w:val="0062426B"/>
    <w:rsid w:val="006243FC"/>
    <w:rsid w:val="00624E60"/>
    <w:rsid w:val="00626E78"/>
    <w:rsid w:val="00627DBE"/>
    <w:rsid w:val="00630764"/>
    <w:rsid w:val="0063107A"/>
    <w:rsid w:val="00631C35"/>
    <w:rsid w:val="0063444D"/>
    <w:rsid w:val="00635013"/>
    <w:rsid w:val="00635637"/>
    <w:rsid w:val="00635F6E"/>
    <w:rsid w:val="0064128D"/>
    <w:rsid w:val="006417EE"/>
    <w:rsid w:val="00641B86"/>
    <w:rsid w:val="00647B48"/>
    <w:rsid w:val="0065184E"/>
    <w:rsid w:val="00651A38"/>
    <w:rsid w:val="0065249A"/>
    <w:rsid w:val="00653BB3"/>
    <w:rsid w:val="006559B6"/>
    <w:rsid w:val="00655BD7"/>
    <w:rsid w:val="006642DB"/>
    <w:rsid w:val="0066588B"/>
    <w:rsid w:val="00666754"/>
    <w:rsid w:val="0067031E"/>
    <w:rsid w:val="00671502"/>
    <w:rsid w:val="00671986"/>
    <w:rsid w:val="00672602"/>
    <w:rsid w:val="006738A5"/>
    <w:rsid w:val="00676A91"/>
    <w:rsid w:val="00683F05"/>
    <w:rsid w:val="00692E53"/>
    <w:rsid w:val="00694011"/>
    <w:rsid w:val="0069439A"/>
    <w:rsid w:val="00695418"/>
    <w:rsid w:val="00695B6B"/>
    <w:rsid w:val="00696760"/>
    <w:rsid w:val="006974EF"/>
    <w:rsid w:val="006A0894"/>
    <w:rsid w:val="006A1F3D"/>
    <w:rsid w:val="006A2342"/>
    <w:rsid w:val="006A2528"/>
    <w:rsid w:val="006A3109"/>
    <w:rsid w:val="006A3BB7"/>
    <w:rsid w:val="006A3D71"/>
    <w:rsid w:val="006A5A49"/>
    <w:rsid w:val="006B1267"/>
    <w:rsid w:val="006B6E09"/>
    <w:rsid w:val="006B7928"/>
    <w:rsid w:val="006C0833"/>
    <w:rsid w:val="006C1475"/>
    <w:rsid w:val="006C332F"/>
    <w:rsid w:val="006C4503"/>
    <w:rsid w:val="006C5DDB"/>
    <w:rsid w:val="006C60B6"/>
    <w:rsid w:val="006C735C"/>
    <w:rsid w:val="006D3278"/>
    <w:rsid w:val="006D456E"/>
    <w:rsid w:val="006D5160"/>
    <w:rsid w:val="006D53CA"/>
    <w:rsid w:val="006D613F"/>
    <w:rsid w:val="006D7CEE"/>
    <w:rsid w:val="006E0D1B"/>
    <w:rsid w:val="006E1CF4"/>
    <w:rsid w:val="006E28AD"/>
    <w:rsid w:val="006E68BB"/>
    <w:rsid w:val="006E68DD"/>
    <w:rsid w:val="006E777B"/>
    <w:rsid w:val="006E7B5D"/>
    <w:rsid w:val="006F079F"/>
    <w:rsid w:val="006F0A12"/>
    <w:rsid w:val="006F1505"/>
    <w:rsid w:val="006F1997"/>
    <w:rsid w:val="006F3212"/>
    <w:rsid w:val="006F6B58"/>
    <w:rsid w:val="006F7804"/>
    <w:rsid w:val="006F793A"/>
    <w:rsid w:val="00700CEA"/>
    <w:rsid w:val="00700DD8"/>
    <w:rsid w:val="007024FA"/>
    <w:rsid w:val="00703A7A"/>
    <w:rsid w:val="007048F8"/>
    <w:rsid w:val="00704ED9"/>
    <w:rsid w:val="00712124"/>
    <w:rsid w:val="0071541A"/>
    <w:rsid w:val="00716EF9"/>
    <w:rsid w:val="0071753B"/>
    <w:rsid w:val="007177EC"/>
    <w:rsid w:val="0073168B"/>
    <w:rsid w:val="0074303E"/>
    <w:rsid w:val="00745469"/>
    <w:rsid w:val="007455CC"/>
    <w:rsid w:val="0074761D"/>
    <w:rsid w:val="00747C45"/>
    <w:rsid w:val="007500FF"/>
    <w:rsid w:val="00751C0D"/>
    <w:rsid w:val="0075560B"/>
    <w:rsid w:val="00756AC9"/>
    <w:rsid w:val="00756BBD"/>
    <w:rsid w:val="00756C16"/>
    <w:rsid w:val="007619B2"/>
    <w:rsid w:val="007626F0"/>
    <w:rsid w:val="00764627"/>
    <w:rsid w:val="00765BBD"/>
    <w:rsid w:val="00765F13"/>
    <w:rsid w:val="00765FF5"/>
    <w:rsid w:val="007718DA"/>
    <w:rsid w:val="00773B6C"/>
    <w:rsid w:val="00777A1A"/>
    <w:rsid w:val="007810B8"/>
    <w:rsid w:val="0078224D"/>
    <w:rsid w:val="007823FF"/>
    <w:rsid w:val="007841ED"/>
    <w:rsid w:val="0078534A"/>
    <w:rsid w:val="00790677"/>
    <w:rsid w:val="007928F5"/>
    <w:rsid w:val="00793F7D"/>
    <w:rsid w:val="0079493C"/>
    <w:rsid w:val="00794BB8"/>
    <w:rsid w:val="007A1D3C"/>
    <w:rsid w:val="007A2929"/>
    <w:rsid w:val="007A2CE8"/>
    <w:rsid w:val="007A48BC"/>
    <w:rsid w:val="007A5E78"/>
    <w:rsid w:val="007A7B40"/>
    <w:rsid w:val="007B0261"/>
    <w:rsid w:val="007B0E9C"/>
    <w:rsid w:val="007B1059"/>
    <w:rsid w:val="007B1CB0"/>
    <w:rsid w:val="007B63DE"/>
    <w:rsid w:val="007B6EDD"/>
    <w:rsid w:val="007B6FDD"/>
    <w:rsid w:val="007B7B9F"/>
    <w:rsid w:val="007B7FF5"/>
    <w:rsid w:val="007C00B0"/>
    <w:rsid w:val="007C1A74"/>
    <w:rsid w:val="007C1BFC"/>
    <w:rsid w:val="007C1C73"/>
    <w:rsid w:val="007C2EAB"/>
    <w:rsid w:val="007C34D9"/>
    <w:rsid w:val="007C3ABF"/>
    <w:rsid w:val="007C3C6D"/>
    <w:rsid w:val="007C3DBF"/>
    <w:rsid w:val="007C3E78"/>
    <w:rsid w:val="007C6F04"/>
    <w:rsid w:val="007C74CE"/>
    <w:rsid w:val="007D0468"/>
    <w:rsid w:val="007D39B4"/>
    <w:rsid w:val="007D5080"/>
    <w:rsid w:val="007D564D"/>
    <w:rsid w:val="007D6E3C"/>
    <w:rsid w:val="007D75E5"/>
    <w:rsid w:val="007D78E1"/>
    <w:rsid w:val="007E08BF"/>
    <w:rsid w:val="007E1689"/>
    <w:rsid w:val="007E1884"/>
    <w:rsid w:val="007E494F"/>
    <w:rsid w:val="007E6679"/>
    <w:rsid w:val="007E68C5"/>
    <w:rsid w:val="007F123D"/>
    <w:rsid w:val="007F149C"/>
    <w:rsid w:val="007F315D"/>
    <w:rsid w:val="007F6D12"/>
    <w:rsid w:val="00801BD7"/>
    <w:rsid w:val="00802E9B"/>
    <w:rsid w:val="00806644"/>
    <w:rsid w:val="0080666D"/>
    <w:rsid w:val="0081081D"/>
    <w:rsid w:val="008162EB"/>
    <w:rsid w:val="00817301"/>
    <w:rsid w:val="008224FA"/>
    <w:rsid w:val="0082378E"/>
    <w:rsid w:val="008251FB"/>
    <w:rsid w:val="008254D9"/>
    <w:rsid w:val="00826A30"/>
    <w:rsid w:val="00826D57"/>
    <w:rsid w:val="00831814"/>
    <w:rsid w:val="00832755"/>
    <w:rsid w:val="00832A88"/>
    <w:rsid w:val="0083532B"/>
    <w:rsid w:val="00835EF9"/>
    <w:rsid w:val="00836E90"/>
    <w:rsid w:val="0083705F"/>
    <w:rsid w:val="0083780E"/>
    <w:rsid w:val="00837B7D"/>
    <w:rsid w:val="00837F9D"/>
    <w:rsid w:val="00841A00"/>
    <w:rsid w:val="008428A9"/>
    <w:rsid w:val="008435B6"/>
    <w:rsid w:val="008445BB"/>
    <w:rsid w:val="00844AFB"/>
    <w:rsid w:val="00845EED"/>
    <w:rsid w:val="008500E4"/>
    <w:rsid w:val="00854B1E"/>
    <w:rsid w:val="0085513F"/>
    <w:rsid w:val="008622BD"/>
    <w:rsid w:val="00863961"/>
    <w:rsid w:val="00864E06"/>
    <w:rsid w:val="0086506E"/>
    <w:rsid w:val="008655D9"/>
    <w:rsid w:val="0086678C"/>
    <w:rsid w:val="0087118E"/>
    <w:rsid w:val="0087144B"/>
    <w:rsid w:val="00874DAA"/>
    <w:rsid w:val="00875B9A"/>
    <w:rsid w:val="00875F41"/>
    <w:rsid w:val="008767D6"/>
    <w:rsid w:val="00882CCF"/>
    <w:rsid w:val="00882E78"/>
    <w:rsid w:val="00882F6C"/>
    <w:rsid w:val="00883F57"/>
    <w:rsid w:val="00885BD3"/>
    <w:rsid w:val="0088625D"/>
    <w:rsid w:val="00887B5A"/>
    <w:rsid w:val="008910BB"/>
    <w:rsid w:val="00892D0D"/>
    <w:rsid w:val="008942C3"/>
    <w:rsid w:val="00897354"/>
    <w:rsid w:val="0089765B"/>
    <w:rsid w:val="00897A62"/>
    <w:rsid w:val="008A2008"/>
    <w:rsid w:val="008A485E"/>
    <w:rsid w:val="008A679C"/>
    <w:rsid w:val="008A746B"/>
    <w:rsid w:val="008B056B"/>
    <w:rsid w:val="008B15B8"/>
    <w:rsid w:val="008B2F83"/>
    <w:rsid w:val="008B6E26"/>
    <w:rsid w:val="008C11E7"/>
    <w:rsid w:val="008C1E50"/>
    <w:rsid w:val="008C57D3"/>
    <w:rsid w:val="008C6B63"/>
    <w:rsid w:val="008C7693"/>
    <w:rsid w:val="008C7D63"/>
    <w:rsid w:val="008D2A78"/>
    <w:rsid w:val="008D3FD7"/>
    <w:rsid w:val="008E064F"/>
    <w:rsid w:val="008E26F4"/>
    <w:rsid w:val="008E306D"/>
    <w:rsid w:val="008E4D3A"/>
    <w:rsid w:val="008E4EA1"/>
    <w:rsid w:val="008E50C9"/>
    <w:rsid w:val="008E713F"/>
    <w:rsid w:val="008E7467"/>
    <w:rsid w:val="008E7501"/>
    <w:rsid w:val="008F0E24"/>
    <w:rsid w:val="008F1A93"/>
    <w:rsid w:val="008F2050"/>
    <w:rsid w:val="008F35F1"/>
    <w:rsid w:val="008F5B4C"/>
    <w:rsid w:val="008F7353"/>
    <w:rsid w:val="008F7BEC"/>
    <w:rsid w:val="00901DF0"/>
    <w:rsid w:val="0090388F"/>
    <w:rsid w:val="00905626"/>
    <w:rsid w:val="0090765A"/>
    <w:rsid w:val="00912055"/>
    <w:rsid w:val="00912674"/>
    <w:rsid w:val="009135F7"/>
    <w:rsid w:val="00913A34"/>
    <w:rsid w:val="00916047"/>
    <w:rsid w:val="00917A04"/>
    <w:rsid w:val="00920024"/>
    <w:rsid w:val="009203DD"/>
    <w:rsid w:val="00922BAE"/>
    <w:rsid w:val="00922ED9"/>
    <w:rsid w:val="00925885"/>
    <w:rsid w:val="009276F0"/>
    <w:rsid w:val="00927BE2"/>
    <w:rsid w:val="00930D65"/>
    <w:rsid w:val="00931015"/>
    <w:rsid w:val="00932191"/>
    <w:rsid w:val="009328AB"/>
    <w:rsid w:val="00932D10"/>
    <w:rsid w:val="009333F4"/>
    <w:rsid w:val="009363A8"/>
    <w:rsid w:val="00937270"/>
    <w:rsid w:val="00940753"/>
    <w:rsid w:val="009417BC"/>
    <w:rsid w:val="00942242"/>
    <w:rsid w:val="009424D0"/>
    <w:rsid w:val="009425BE"/>
    <w:rsid w:val="00944633"/>
    <w:rsid w:val="00945598"/>
    <w:rsid w:val="0094753C"/>
    <w:rsid w:val="0095046C"/>
    <w:rsid w:val="009508CC"/>
    <w:rsid w:val="00951F17"/>
    <w:rsid w:val="00952C12"/>
    <w:rsid w:val="009552BF"/>
    <w:rsid w:val="0095582E"/>
    <w:rsid w:val="00960235"/>
    <w:rsid w:val="009602C4"/>
    <w:rsid w:val="009610EF"/>
    <w:rsid w:val="00961113"/>
    <w:rsid w:val="0096198D"/>
    <w:rsid w:val="009626D0"/>
    <w:rsid w:val="00962977"/>
    <w:rsid w:val="009635DF"/>
    <w:rsid w:val="0096397B"/>
    <w:rsid w:val="00963ACB"/>
    <w:rsid w:val="00964328"/>
    <w:rsid w:val="00965CC2"/>
    <w:rsid w:val="00970ACD"/>
    <w:rsid w:val="009715B4"/>
    <w:rsid w:val="009723B4"/>
    <w:rsid w:val="009740B7"/>
    <w:rsid w:val="00974A1D"/>
    <w:rsid w:val="009778C0"/>
    <w:rsid w:val="00981B71"/>
    <w:rsid w:val="00983386"/>
    <w:rsid w:val="00984450"/>
    <w:rsid w:val="00984824"/>
    <w:rsid w:val="00984975"/>
    <w:rsid w:val="00984A97"/>
    <w:rsid w:val="009932E1"/>
    <w:rsid w:val="00994DB9"/>
    <w:rsid w:val="00994E62"/>
    <w:rsid w:val="00995D7C"/>
    <w:rsid w:val="00996C8D"/>
    <w:rsid w:val="009A1245"/>
    <w:rsid w:val="009A4F5A"/>
    <w:rsid w:val="009A5067"/>
    <w:rsid w:val="009A7B81"/>
    <w:rsid w:val="009B225B"/>
    <w:rsid w:val="009B61C7"/>
    <w:rsid w:val="009B6465"/>
    <w:rsid w:val="009B6CF3"/>
    <w:rsid w:val="009B7322"/>
    <w:rsid w:val="009C0714"/>
    <w:rsid w:val="009C2901"/>
    <w:rsid w:val="009C3CD0"/>
    <w:rsid w:val="009C3F62"/>
    <w:rsid w:val="009C41BF"/>
    <w:rsid w:val="009C6C85"/>
    <w:rsid w:val="009C6ED5"/>
    <w:rsid w:val="009D275C"/>
    <w:rsid w:val="009D34DB"/>
    <w:rsid w:val="009D3940"/>
    <w:rsid w:val="009D41CE"/>
    <w:rsid w:val="009D50D6"/>
    <w:rsid w:val="009E0607"/>
    <w:rsid w:val="009E08B0"/>
    <w:rsid w:val="009E2372"/>
    <w:rsid w:val="009E3997"/>
    <w:rsid w:val="009E39C1"/>
    <w:rsid w:val="009E7685"/>
    <w:rsid w:val="009F06A0"/>
    <w:rsid w:val="009F1B8E"/>
    <w:rsid w:val="009F6D06"/>
    <w:rsid w:val="009F6EFF"/>
    <w:rsid w:val="009F7B9A"/>
    <w:rsid w:val="00A00602"/>
    <w:rsid w:val="00A00DAC"/>
    <w:rsid w:val="00A03650"/>
    <w:rsid w:val="00A04C2E"/>
    <w:rsid w:val="00A053F0"/>
    <w:rsid w:val="00A05635"/>
    <w:rsid w:val="00A07181"/>
    <w:rsid w:val="00A07A31"/>
    <w:rsid w:val="00A1086B"/>
    <w:rsid w:val="00A10C88"/>
    <w:rsid w:val="00A10D57"/>
    <w:rsid w:val="00A11B9C"/>
    <w:rsid w:val="00A13ABE"/>
    <w:rsid w:val="00A13F85"/>
    <w:rsid w:val="00A14BF4"/>
    <w:rsid w:val="00A14D18"/>
    <w:rsid w:val="00A1521A"/>
    <w:rsid w:val="00A16839"/>
    <w:rsid w:val="00A16DF3"/>
    <w:rsid w:val="00A1706D"/>
    <w:rsid w:val="00A215B7"/>
    <w:rsid w:val="00A2278E"/>
    <w:rsid w:val="00A227A2"/>
    <w:rsid w:val="00A316E0"/>
    <w:rsid w:val="00A33191"/>
    <w:rsid w:val="00A33742"/>
    <w:rsid w:val="00A33B72"/>
    <w:rsid w:val="00A36362"/>
    <w:rsid w:val="00A4095B"/>
    <w:rsid w:val="00A41C88"/>
    <w:rsid w:val="00A43BF4"/>
    <w:rsid w:val="00A45136"/>
    <w:rsid w:val="00A45A2A"/>
    <w:rsid w:val="00A465BE"/>
    <w:rsid w:val="00A503A3"/>
    <w:rsid w:val="00A504D5"/>
    <w:rsid w:val="00A53BE1"/>
    <w:rsid w:val="00A54621"/>
    <w:rsid w:val="00A5481B"/>
    <w:rsid w:val="00A55AC5"/>
    <w:rsid w:val="00A55C35"/>
    <w:rsid w:val="00A57925"/>
    <w:rsid w:val="00A61F2F"/>
    <w:rsid w:val="00A62925"/>
    <w:rsid w:val="00A62CC4"/>
    <w:rsid w:val="00A652DF"/>
    <w:rsid w:val="00A67CBE"/>
    <w:rsid w:val="00A71B9D"/>
    <w:rsid w:val="00A72F6C"/>
    <w:rsid w:val="00A734A3"/>
    <w:rsid w:val="00A73687"/>
    <w:rsid w:val="00A74A0E"/>
    <w:rsid w:val="00A81064"/>
    <w:rsid w:val="00A82418"/>
    <w:rsid w:val="00A82E13"/>
    <w:rsid w:val="00A8304F"/>
    <w:rsid w:val="00A83332"/>
    <w:rsid w:val="00A859EF"/>
    <w:rsid w:val="00A86806"/>
    <w:rsid w:val="00A90D56"/>
    <w:rsid w:val="00A927E3"/>
    <w:rsid w:val="00A948C0"/>
    <w:rsid w:val="00A94B5E"/>
    <w:rsid w:val="00A94E61"/>
    <w:rsid w:val="00A97248"/>
    <w:rsid w:val="00AA0847"/>
    <w:rsid w:val="00AA0C3C"/>
    <w:rsid w:val="00AA1D8C"/>
    <w:rsid w:val="00AA2B77"/>
    <w:rsid w:val="00AA36B7"/>
    <w:rsid w:val="00AA4920"/>
    <w:rsid w:val="00AA4CF4"/>
    <w:rsid w:val="00AB079D"/>
    <w:rsid w:val="00AB0A65"/>
    <w:rsid w:val="00AB0BF5"/>
    <w:rsid w:val="00AB2E3D"/>
    <w:rsid w:val="00AB4D83"/>
    <w:rsid w:val="00AB77A6"/>
    <w:rsid w:val="00AC051C"/>
    <w:rsid w:val="00AC0AAB"/>
    <w:rsid w:val="00AC116F"/>
    <w:rsid w:val="00AC2458"/>
    <w:rsid w:val="00AC2EAC"/>
    <w:rsid w:val="00AC576C"/>
    <w:rsid w:val="00AC6237"/>
    <w:rsid w:val="00AC6B95"/>
    <w:rsid w:val="00AC79F8"/>
    <w:rsid w:val="00AD053D"/>
    <w:rsid w:val="00AD19B1"/>
    <w:rsid w:val="00AD3606"/>
    <w:rsid w:val="00AD3AFC"/>
    <w:rsid w:val="00AD76ED"/>
    <w:rsid w:val="00AE1353"/>
    <w:rsid w:val="00AE29CD"/>
    <w:rsid w:val="00AE2C86"/>
    <w:rsid w:val="00AE3D72"/>
    <w:rsid w:val="00AE61BD"/>
    <w:rsid w:val="00AE7142"/>
    <w:rsid w:val="00AE7466"/>
    <w:rsid w:val="00AF0088"/>
    <w:rsid w:val="00AF57E3"/>
    <w:rsid w:val="00AF68B5"/>
    <w:rsid w:val="00B00035"/>
    <w:rsid w:val="00B024C6"/>
    <w:rsid w:val="00B0297D"/>
    <w:rsid w:val="00B033D8"/>
    <w:rsid w:val="00B05656"/>
    <w:rsid w:val="00B10047"/>
    <w:rsid w:val="00B10A75"/>
    <w:rsid w:val="00B11736"/>
    <w:rsid w:val="00B11EFC"/>
    <w:rsid w:val="00B13962"/>
    <w:rsid w:val="00B152BC"/>
    <w:rsid w:val="00B1783A"/>
    <w:rsid w:val="00B17905"/>
    <w:rsid w:val="00B22448"/>
    <w:rsid w:val="00B2282C"/>
    <w:rsid w:val="00B22B0E"/>
    <w:rsid w:val="00B22D5D"/>
    <w:rsid w:val="00B233DE"/>
    <w:rsid w:val="00B23ACB"/>
    <w:rsid w:val="00B23CC2"/>
    <w:rsid w:val="00B249F1"/>
    <w:rsid w:val="00B300ED"/>
    <w:rsid w:val="00B303A9"/>
    <w:rsid w:val="00B326E7"/>
    <w:rsid w:val="00B35165"/>
    <w:rsid w:val="00B351B1"/>
    <w:rsid w:val="00B42367"/>
    <w:rsid w:val="00B42FEB"/>
    <w:rsid w:val="00B44D09"/>
    <w:rsid w:val="00B516B5"/>
    <w:rsid w:val="00B51B91"/>
    <w:rsid w:val="00B5278E"/>
    <w:rsid w:val="00B56CA6"/>
    <w:rsid w:val="00B60523"/>
    <w:rsid w:val="00B62F71"/>
    <w:rsid w:val="00B6379A"/>
    <w:rsid w:val="00B6383E"/>
    <w:rsid w:val="00B65038"/>
    <w:rsid w:val="00B650DF"/>
    <w:rsid w:val="00B7057B"/>
    <w:rsid w:val="00B70AAB"/>
    <w:rsid w:val="00B71085"/>
    <w:rsid w:val="00B7169F"/>
    <w:rsid w:val="00B72B5A"/>
    <w:rsid w:val="00B77C14"/>
    <w:rsid w:val="00B800EA"/>
    <w:rsid w:val="00B80967"/>
    <w:rsid w:val="00B8383F"/>
    <w:rsid w:val="00B85AC0"/>
    <w:rsid w:val="00B8634D"/>
    <w:rsid w:val="00B871B0"/>
    <w:rsid w:val="00B87B29"/>
    <w:rsid w:val="00B91E9A"/>
    <w:rsid w:val="00B92455"/>
    <w:rsid w:val="00B95953"/>
    <w:rsid w:val="00B95FB7"/>
    <w:rsid w:val="00B96057"/>
    <w:rsid w:val="00B960A5"/>
    <w:rsid w:val="00BA1668"/>
    <w:rsid w:val="00BA216B"/>
    <w:rsid w:val="00BA2FA2"/>
    <w:rsid w:val="00BA50AA"/>
    <w:rsid w:val="00BA521C"/>
    <w:rsid w:val="00BA65FE"/>
    <w:rsid w:val="00BA6AC2"/>
    <w:rsid w:val="00BA7167"/>
    <w:rsid w:val="00BB0333"/>
    <w:rsid w:val="00BB187B"/>
    <w:rsid w:val="00BB2E73"/>
    <w:rsid w:val="00BB31EF"/>
    <w:rsid w:val="00BB4431"/>
    <w:rsid w:val="00BB44FF"/>
    <w:rsid w:val="00BB47C3"/>
    <w:rsid w:val="00BB4B7D"/>
    <w:rsid w:val="00BB4E85"/>
    <w:rsid w:val="00BC143B"/>
    <w:rsid w:val="00BC2926"/>
    <w:rsid w:val="00BC2E68"/>
    <w:rsid w:val="00BC350E"/>
    <w:rsid w:val="00BC48AF"/>
    <w:rsid w:val="00BC4E8D"/>
    <w:rsid w:val="00BC6FDC"/>
    <w:rsid w:val="00BC7590"/>
    <w:rsid w:val="00BC7C9A"/>
    <w:rsid w:val="00BD0497"/>
    <w:rsid w:val="00BD3A9D"/>
    <w:rsid w:val="00BD5F44"/>
    <w:rsid w:val="00BD6A3B"/>
    <w:rsid w:val="00BD6A84"/>
    <w:rsid w:val="00BD6D00"/>
    <w:rsid w:val="00BD6D68"/>
    <w:rsid w:val="00BD7BE3"/>
    <w:rsid w:val="00BE0284"/>
    <w:rsid w:val="00BE52BC"/>
    <w:rsid w:val="00BE624A"/>
    <w:rsid w:val="00BE7E78"/>
    <w:rsid w:val="00BF01B5"/>
    <w:rsid w:val="00BF1622"/>
    <w:rsid w:val="00BF4C07"/>
    <w:rsid w:val="00BF54ED"/>
    <w:rsid w:val="00BF5549"/>
    <w:rsid w:val="00BF5B66"/>
    <w:rsid w:val="00BF5D40"/>
    <w:rsid w:val="00BF70E6"/>
    <w:rsid w:val="00BF740C"/>
    <w:rsid w:val="00BF7F27"/>
    <w:rsid w:val="00C019BE"/>
    <w:rsid w:val="00C021F4"/>
    <w:rsid w:val="00C025B4"/>
    <w:rsid w:val="00C04142"/>
    <w:rsid w:val="00C04833"/>
    <w:rsid w:val="00C05661"/>
    <w:rsid w:val="00C05D99"/>
    <w:rsid w:val="00C078AB"/>
    <w:rsid w:val="00C133FE"/>
    <w:rsid w:val="00C1560C"/>
    <w:rsid w:val="00C24A68"/>
    <w:rsid w:val="00C30570"/>
    <w:rsid w:val="00C32824"/>
    <w:rsid w:val="00C338BB"/>
    <w:rsid w:val="00C348EB"/>
    <w:rsid w:val="00C34A1B"/>
    <w:rsid w:val="00C354CE"/>
    <w:rsid w:val="00C36488"/>
    <w:rsid w:val="00C36B98"/>
    <w:rsid w:val="00C37B4E"/>
    <w:rsid w:val="00C37E0B"/>
    <w:rsid w:val="00C41222"/>
    <w:rsid w:val="00C415DD"/>
    <w:rsid w:val="00C41D2B"/>
    <w:rsid w:val="00C42556"/>
    <w:rsid w:val="00C4272E"/>
    <w:rsid w:val="00C440FF"/>
    <w:rsid w:val="00C4485D"/>
    <w:rsid w:val="00C46238"/>
    <w:rsid w:val="00C53FA7"/>
    <w:rsid w:val="00C54223"/>
    <w:rsid w:val="00C548AC"/>
    <w:rsid w:val="00C550E6"/>
    <w:rsid w:val="00C55DFA"/>
    <w:rsid w:val="00C6041B"/>
    <w:rsid w:val="00C61066"/>
    <w:rsid w:val="00C619E2"/>
    <w:rsid w:val="00C6247E"/>
    <w:rsid w:val="00C6400D"/>
    <w:rsid w:val="00C64ABE"/>
    <w:rsid w:val="00C659C4"/>
    <w:rsid w:val="00C65FF1"/>
    <w:rsid w:val="00C66708"/>
    <w:rsid w:val="00C669A5"/>
    <w:rsid w:val="00C67CE3"/>
    <w:rsid w:val="00C71068"/>
    <w:rsid w:val="00C71B4F"/>
    <w:rsid w:val="00C71DF9"/>
    <w:rsid w:val="00C72D7A"/>
    <w:rsid w:val="00C73821"/>
    <w:rsid w:val="00C76384"/>
    <w:rsid w:val="00C81028"/>
    <w:rsid w:val="00C81763"/>
    <w:rsid w:val="00C81CB4"/>
    <w:rsid w:val="00C81D14"/>
    <w:rsid w:val="00C81DE7"/>
    <w:rsid w:val="00C822BB"/>
    <w:rsid w:val="00C83931"/>
    <w:rsid w:val="00C85115"/>
    <w:rsid w:val="00C86120"/>
    <w:rsid w:val="00C87630"/>
    <w:rsid w:val="00C91A2F"/>
    <w:rsid w:val="00C94741"/>
    <w:rsid w:val="00C9529E"/>
    <w:rsid w:val="00C95743"/>
    <w:rsid w:val="00C961F8"/>
    <w:rsid w:val="00C96B7D"/>
    <w:rsid w:val="00C96F98"/>
    <w:rsid w:val="00CA06FE"/>
    <w:rsid w:val="00CA4590"/>
    <w:rsid w:val="00CA5B57"/>
    <w:rsid w:val="00CA6011"/>
    <w:rsid w:val="00CA66FB"/>
    <w:rsid w:val="00CA7091"/>
    <w:rsid w:val="00CB5C7E"/>
    <w:rsid w:val="00CB5D7C"/>
    <w:rsid w:val="00CB6220"/>
    <w:rsid w:val="00CC1143"/>
    <w:rsid w:val="00CC2527"/>
    <w:rsid w:val="00CC2BB5"/>
    <w:rsid w:val="00CC35AA"/>
    <w:rsid w:val="00CC3606"/>
    <w:rsid w:val="00CC50F8"/>
    <w:rsid w:val="00CC5676"/>
    <w:rsid w:val="00CC682F"/>
    <w:rsid w:val="00CD1F8A"/>
    <w:rsid w:val="00CD2C08"/>
    <w:rsid w:val="00CD2DF9"/>
    <w:rsid w:val="00CD2E66"/>
    <w:rsid w:val="00CD5731"/>
    <w:rsid w:val="00CE07A9"/>
    <w:rsid w:val="00CE30B0"/>
    <w:rsid w:val="00CE43BE"/>
    <w:rsid w:val="00CE5800"/>
    <w:rsid w:val="00CF305E"/>
    <w:rsid w:val="00CF57D5"/>
    <w:rsid w:val="00CF5F35"/>
    <w:rsid w:val="00D00159"/>
    <w:rsid w:val="00D011FE"/>
    <w:rsid w:val="00D05FC0"/>
    <w:rsid w:val="00D06ABE"/>
    <w:rsid w:val="00D06B28"/>
    <w:rsid w:val="00D07F58"/>
    <w:rsid w:val="00D17612"/>
    <w:rsid w:val="00D21176"/>
    <w:rsid w:val="00D22847"/>
    <w:rsid w:val="00D23C15"/>
    <w:rsid w:val="00D244DB"/>
    <w:rsid w:val="00D25A6A"/>
    <w:rsid w:val="00D26CFA"/>
    <w:rsid w:val="00D30640"/>
    <w:rsid w:val="00D30F25"/>
    <w:rsid w:val="00D35CE6"/>
    <w:rsid w:val="00D36E1B"/>
    <w:rsid w:val="00D402A6"/>
    <w:rsid w:val="00D416B6"/>
    <w:rsid w:val="00D42576"/>
    <w:rsid w:val="00D43E7F"/>
    <w:rsid w:val="00D45F9A"/>
    <w:rsid w:val="00D46840"/>
    <w:rsid w:val="00D46E1D"/>
    <w:rsid w:val="00D47792"/>
    <w:rsid w:val="00D503C3"/>
    <w:rsid w:val="00D5083B"/>
    <w:rsid w:val="00D50ED5"/>
    <w:rsid w:val="00D52200"/>
    <w:rsid w:val="00D53B2D"/>
    <w:rsid w:val="00D555E3"/>
    <w:rsid w:val="00D556C4"/>
    <w:rsid w:val="00D56058"/>
    <w:rsid w:val="00D57B96"/>
    <w:rsid w:val="00D61850"/>
    <w:rsid w:val="00D6368C"/>
    <w:rsid w:val="00D643F8"/>
    <w:rsid w:val="00D6496F"/>
    <w:rsid w:val="00D64DD6"/>
    <w:rsid w:val="00D64FC7"/>
    <w:rsid w:val="00D65A82"/>
    <w:rsid w:val="00D65FE4"/>
    <w:rsid w:val="00D7113E"/>
    <w:rsid w:val="00D7334B"/>
    <w:rsid w:val="00D747BC"/>
    <w:rsid w:val="00D74827"/>
    <w:rsid w:val="00D757B4"/>
    <w:rsid w:val="00D75DA5"/>
    <w:rsid w:val="00D76AC7"/>
    <w:rsid w:val="00D76F09"/>
    <w:rsid w:val="00D77397"/>
    <w:rsid w:val="00D77A36"/>
    <w:rsid w:val="00D802FD"/>
    <w:rsid w:val="00D80EF0"/>
    <w:rsid w:val="00D832D1"/>
    <w:rsid w:val="00D84817"/>
    <w:rsid w:val="00D84AC6"/>
    <w:rsid w:val="00D853ED"/>
    <w:rsid w:val="00D85DF0"/>
    <w:rsid w:val="00D8622C"/>
    <w:rsid w:val="00D864DC"/>
    <w:rsid w:val="00D8784B"/>
    <w:rsid w:val="00D878B3"/>
    <w:rsid w:val="00D911A4"/>
    <w:rsid w:val="00D91B9E"/>
    <w:rsid w:val="00D93562"/>
    <w:rsid w:val="00D93B2B"/>
    <w:rsid w:val="00D95A30"/>
    <w:rsid w:val="00D95E40"/>
    <w:rsid w:val="00DA0171"/>
    <w:rsid w:val="00DA0B5B"/>
    <w:rsid w:val="00DA1EB4"/>
    <w:rsid w:val="00DA2703"/>
    <w:rsid w:val="00DA2871"/>
    <w:rsid w:val="00DA2E95"/>
    <w:rsid w:val="00DA5C8B"/>
    <w:rsid w:val="00DB04CE"/>
    <w:rsid w:val="00DB1855"/>
    <w:rsid w:val="00DB37C5"/>
    <w:rsid w:val="00DB3E20"/>
    <w:rsid w:val="00DB4353"/>
    <w:rsid w:val="00DB6882"/>
    <w:rsid w:val="00DC0208"/>
    <w:rsid w:val="00DC111B"/>
    <w:rsid w:val="00DC1EF3"/>
    <w:rsid w:val="00DC2BCE"/>
    <w:rsid w:val="00DC2C7F"/>
    <w:rsid w:val="00DC33AA"/>
    <w:rsid w:val="00DC6623"/>
    <w:rsid w:val="00DC7B9F"/>
    <w:rsid w:val="00DD0B21"/>
    <w:rsid w:val="00DD1074"/>
    <w:rsid w:val="00DD41D8"/>
    <w:rsid w:val="00DD4788"/>
    <w:rsid w:val="00DD5DE0"/>
    <w:rsid w:val="00DD69B3"/>
    <w:rsid w:val="00DD73F2"/>
    <w:rsid w:val="00DE1FE8"/>
    <w:rsid w:val="00DE3959"/>
    <w:rsid w:val="00DE710F"/>
    <w:rsid w:val="00DF4756"/>
    <w:rsid w:val="00DF739B"/>
    <w:rsid w:val="00E01E84"/>
    <w:rsid w:val="00E0571D"/>
    <w:rsid w:val="00E073A3"/>
    <w:rsid w:val="00E11998"/>
    <w:rsid w:val="00E12597"/>
    <w:rsid w:val="00E127BB"/>
    <w:rsid w:val="00E12F30"/>
    <w:rsid w:val="00E205BC"/>
    <w:rsid w:val="00E21CBA"/>
    <w:rsid w:val="00E2260B"/>
    <w:rsid w:val="00E2261B"/>
    <w:rsid w:val="00E22F3A"/>
    <w:rsid w:val="00E23E07"/>
    <w:rsid w:val="00E24879"/>
    <w:rsid w:val="00E259F1"/>
    <w:rsid w:val="00E26245"/>
    <w:rsid w:val="00E321D9"/>
    <w:rsid w:val="00E326D8"/>
    <w:rsid w:val="00E33182"/>
    <w:rsid w:val="00E342D3"/>
    <w:rsid w:val="00E3608C"/>
    <w:rsid w:val="00E3707E"/>
    <w:rsid w:val="00E40FCE"/>
    <w:rsid w:val="00E44420"/>
    <w:rsid w:val="00E44D08"/>
    <w:rsid w:val="00E455D2"/>
    <w:rsid w:val="00E53C33"/>
    <w:rsid w:val="00E60F87"/>
    <w:rsid w:val="00E614F6"/>
    <w:rsid w:val="00E619E1"/>
    <w:rsid w:val="00E62FC4"/>
    <w:rsid w:val="00E635D5"/>
    <w:rsid w:val="00E64718"/>
    <w:rsid w:val="00E65ADC"/>
    <w:rsid w:val="00E65CFD"/>
    <w:rsid w:val="00E71554"/>
    <w:rsid w:val="00E73B4E"/>
    <w:rsid w:val="00E7498D"/>
    <w:rsid w:val="00E74D53"/>
    <w:rsid w:val="00E75031"/>
    <w:rsid w:val="00E752A0"/>
    <w:rsid w:val="00E7651C"/>
    <w:rsid w:val="00E7732D"/>
    <w:rsid w:val="00E820B5"/>
    <w:rsid w:val="00E82AB2"/>
    <w:rsid w:val="00E8357E"/>
    <w:rsid w:val="00E838C8"/>
    <w:rsid w:val="00E839C6"/>
    <w:rsid w:val="00E86411"/>
    <w:rsid w:val="00E867C6"/>
    <w:rsid w:val="00E91B3D"/>
    <w:rsid w:val="00E92617"/>
    <w:rsid w:val="00E95534"/>
    <w:rsid w:val="00E95F4B"/>
    <w:rsid w:val="00E96175"/>
    <w:rsid w:val="00E9693A"/>
    <w:rsid w:val="00EA3D92"/>
    <w:rsid w:val="00EA3F53"/>
    <w:rsid w:val="00EA4CA0"/>
    <w:rsid w:val="00EA5EC3"/>
    <w:rsid w:val="00EA63C4"/>
    <w:rsid w:val="00EA69BC"/>
    <w:rsid w:val="00EA6AF1"/>
    <w:rsid w:val="00EB026B"/>
    <w:rsid w:val="00EB24D2"/>
    <w:rsid w:val="00EB5BFE"/>
    <w:rsid w:val="00EC2935"/>
    <w:rsid w:val="00EC2EF8"/>
    <w:rsid w:val="00EC43DD"/>
    <w:rsid w:val="00EC4C30"/>
    <w:rsid w:val="00EC4E1C"/>
    <w:rsid w:val="00EC5584"/>
    <w:rsid w:val="00EC5B1D"/>
    <w:rsid w:val="00EC60BF"/>
    <w:rsid w:val="00ED0C82"/>
    <w:rsid w:val="00ED5D4F"/>
    <w:rsid w:val="00ED7677"/>
    <w:rsid w:val="00EE1A3B"/>
    <w:rsid w:val="00EE6E7F"/>
    <w:rsid w:val="00EF03D3"/>
    <w:rsid w:val="00EF316E"/>
    <w:rsid w:val="00EF47D0"/>
    <w:rsid w:val="00EF7728"/>
    <w:rsid w:val="00EF77CF"/>
    <w:rsid w:val="00EF79CB"/>
    <w:rsid w:val="00F00777"/>
    <w:rsid w:val="00F00814"/>
    <w:rsid w:val="00F025A3"/>
    <w:rsid w:val="00F029D8"/>
    <w:rsid w:val="00F035BB"/>
    <w:rsid w:val="00F039C3"/>
    <w:rsid w:val="00F047CB"/>
    <w:rsid w:val="00F051B5"/>
    <w:rsid w:val="00F05CD2"/>
    <w:rsid w:val="00F06874"/>
    <w:rsid w:val="00F0762C"/>
    <w:rsid w:val="00F11183"/>
    <w:rsid w:val="00F11D6D"/>
    <w:rsid w:val="00F12B9D"/>
    <w:rsid w:val="00F13589"/>
    <w:rsid w:val="00F1554D"/>
    <w:rsid w:val="00F21A28"/>
    <w:rsid w:val="00F21F55"/>
    <w:rsid w:val="00F22B6D"/>
    <w:rsid w:val="00F26FAA"/>
    <w:rsid w:val="00F326AD"/>
    <w:rsid w:val="00F35547"/>
    <w:rsid w:val="00F36226"/>
    <w:rsid w:val="00F364DC"/>
    <w:rsid w:val="00F40788"/>
    <w:rsid w:val="00F4159E"/>
    <w:rsid w:val="00F42494"/>
    <w:rsid w:val="00F43945"/>
    <w:rsid w:val="00F4451E"/>
    <w:rsid w:val="00F45C5D"/>
    <w:rsid w:val="00F47AED"/>
    <w:rsid w:val="00F47B4F"/>
    <w:rsid w:val="00F51075"/>
    <w:rsid w:val="00F542C6"/>
    <w:rsid w:val="00F5446E"/>
    <w:rsid w:val="00F54AE0"/>
    <w:rsid w:val="00F54C85"/>
    <w:rsid w:val="00F551CF"/>
    <w:rsid w:val="00F55342"/>
    <w:rsid w:val="00F624B8"/>
    <w:rsid w:val="00F629B1"/>
    <w:rsid w:val="00F63539"/>
    <w:rsid w:val="00F63B11"/>
    <w:rsid w:val="00F63C16"/>
    <w:rsid w:val="00F66518"/>
    <w:rsid w:val="00F71BAD"/>
    <w:rsid w:val="00F72F12"/>
    <w:rsid w:val="00F77CE3"/>
    <w:rsid w:val="00F80816"/>
    <w:rsid w:val="00F80CFD"/>
    <w:rsid w:val="00F81130"/>
    <w:rsid w:val="00F81C33"/>
    <w:rsid w:val="00F82A6C"/>
    <w:rsid w:val="00F83A7A"/>
    <w:rsid w:val="00F8619E"/>
    <w:rsid w:val="00F86FA9"/>
    <w:rsid w:val="00F93ED1"/>
    <w:rsid w:val="00F94306"/>
    <w:rsid w:val="00F9487B"/>
    <w:rsid w:val="00F965B6"/>
    <w:rsid w:val="00FA0E66"/>
    <w:rsid w:val="00FA3356"/>
    <w:rsid w:val="00FA3D56"/>
    <w:rsid w:val="00FA5584"/>
    <w:rsid w:val="00FB0B59"/>
    <w:rsid w:val="00FB20D7"/>
    <w:rsid w:val="00FB2EFE"/>
    <w:rsid w:val="00FB3FD8"/>
    <w:rsid w:val="00FB42D8"/>
    <w:rsid w:val="00FB71F2"/>
    <w:rsid w:val="00FB7ADB"/>
    <w:rsid w:val="00FC0059"/>
    <w:rsid w:val="00FC0778"/>
    <w:rsid w:val="00FC1CBD"/>
    <w:rsid w:val="00FC1EFC"/>
    <w:rsid w:val="00FC2A10"/>
    <w:rsid w:val="00FC3E61"/>
    <w:rsid w:val="00FC53C4"/>
    <w:rsid w:val="00FC6072"/>
    <w:rsid w:val="00FC7FA9"/>
    <w:rsid w:val="00FD0833"/>
    <w:rsid w:val="00FD0A91"/>
    <w:rsid w:val="00FD0E2D"/>
    <w:rsid w:val="00FD295D"/>
    <w:rsid w:val="00FD3A54"/>
    <w:rsid w:val="00FD62A9"/>
    <w:rsid w:val="00FD7E14"/>
    <w:rsid w:val="00FE16AE"/>
    <w:rsid w:val="00FE2A6F"/>
    <w:rsid w:val="00FE3755"/>
    <w:rsid w:val="00FE4F25"/>
    <w:rsid w:val="00FF01DA"/>
    <w:rsid w:val="00FF134F"/>
    <w:rsid w:val="00FF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FE88236-C38E-4D49-8A6A-509206DD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8D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kern w:val="36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498D"/>
    <w:pPr>
      <w:keepNext/>
      <w:keepLines/>
      <w:jc w:val="center"/>
    </w:pPr>
    <w:rPr>
      <w:rFonts w:eastAsiaTheme="majorEastAsia"/>
      <w:b/>
    </w:rPr>
  </w:style>
  <w:style w:type="paragraph" w:styleId="2">
    <w:name w:val="heading 2"/>
    <w:basedOn w:val="a"/>
    <w:next w:val="a"/>
    <w:link w:val="20"/>
    <w:uiPriority w:val="9"/>
    <w:qFormat/>
    <w:rsid w:val="00E7498D"/>
    <w:pPr>
      <w:keepNext/>
      <w:keepLines/>
      <w:spacing w:before="200" w:line="240" w:lineRule="auto"/>
      <w:jc w:val="center"/>
      <w:outlineLvl w:val="1"/>
    </w:pPr>
    <w:rPr>
      <w:rFonts w:eastAsia="Calibr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98D"/>
    <w:rPr>
      <w:rFonts w:ascii="Times New Roman" w:eastAsiaTheme="majorEastAsia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98D"/>
    <w:rPr>
      <w:rFonts w:ascii="Times New Roman" w:eastAsia="Calibri" w:hAnsi="Times New Roman" w:cs="Times New Roman"/>
      <w:b/>
      <w:bCs/>
      <w:kern w:val="36"/>
      <w:sz w:val="28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E7498D"/>
    <w:pPr>
      <w:spacing w:after="120"/>
      <w:ind w:left="283"/>
    </w:pPr>
    <w:rPr>
      <w:rFonts w:ascii="Calibri" w:hAnsi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E7498D"/>
    <w:rPr>
      <w:rFonts w:ascii="Calibri" w:eastAsia="Times New Roman" w:hAnsi="Calibri" w:cs="Times New Roman"/>
      <w:bCs/>
      <w:kern w:val="36"/>
      <w:sz w:val="24"/>
      <w:szCs w:val="24"/>
      <w:lang w:eastAsia="ru-RU"/>
    </w:rPr>
  </w:style>
  <w:style w:type="paragraph" w:customStyle="1" w:styleId="14">
    <w:name w:val="Обычный+14п"/>
    <w:basedOn w:val="a5"/>
    <w:rsid w:val="00E7498D"/>
  </w:style>
  <w:style w:type="paragraph" w:styleId="a5">
    <w:name w:val="Body Text"/>
    <w:basedOn w:val="a"/>
    <w:link w:val="a6"/>
    <w:unhideWhenUsed/>
    <w:rsid w:val="00E7498D"/>
    <w:pPr>
      <w:spacing w:after="120"/>
    </w:pPr>
  </w:style>
  <w:style w:type="character" w:customStyle="1" w:styleId="a6">
    <w:name w:val="Основной текст Знак"/>
    <w:basedOn w:val="a0"/>
    <w:link w:val="a5"/>
    <w:rsid w:val="00E7498D"/>
    <w:rPr>
      <w:rFonts w:ascii="Times New Roman" w:eastAsia="Times New Roman" w:hAnsi="Times New Roman" w:cs="Times New Roman"/>
      <w:bCs/>
      <w:kern w:val="36"/>
      <w:sz w:val="24"/>
      <w:szCs w:val="24"/>
      <w:lang w:eastAsia="ru-RU"/>
    </w:rPr>
  </w:style>
  <w:style w:type="character" w:styleId="a7">
    <w:name w:val="Strong"/>
    <w:basedOn w:val="a0"/>
    <w:qFormat/>
    <w:rsid w:val="00E7498D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unhideWhenUsed/>
    <w:qFormat/>
    <w:rsid w:val="00E7498D"/>
    <w:pPr>
      <w:spacing w:before="100" w:beforeAutospacing="1" w:after="100" w:afterAutospacing="1" w:line="240" w:lineRule="auto"/>
    </w:pPr>
    <w:rPr>
      <w:color w:val="242428"/>
    </w:rPr>
  </w:style>
  <w:style w:type="character" w:customStyle="1" w:styleId="a9">
    <w:name w:val="Обычный (веб) Знак"/>
    <w:basedOn w:val="a0"/>
    <w:link w:val="a8"/>
    <w:uiPriority w:val="99"/>
    <w:rsid w:val="00E7498D"/>
    <w:rPr>
      <w:rFonts w:ascii="Times New Roman" w:eastAsia="Times New Roman" w:hAnsi="Times New Roman" w:cs="Times New Roman"/>
      <w:bCs/>
      <w:color w:val="242428"/>
      <w:kern w:val="36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7498D"/>
    <w:pPr>
      <w:spacing w:line="240" w:lineRule="auto"/>
      <w:ind w:firstLine="720"/>
    </w:pPr>
    <w:rPr>
      <w:rFonts w:eastAsia="Calibri"/>
      <w:sz w:val="26"/>
      <w:szCs w:val="26"/>
    </w:rPr>
  </w:style>
  <w:style w:type="paragraph" w:customStyle="1" w:styleId="p1">
    <w:name w:val="p1"/>
    <w:basedOn w:val="a"/>
    <w:rsid w:val="00E7498D"/>
    <w:pPr>
      <w:spacing w:before="75" w:after="75" w:line="240" w:lineRule="auto"/>
      <w:ind w:firstLine="300"/>
    </w:pPr>
    <w:rPr>
      <w:rFonts w:ascii="Arial" w:eastAsia="Arial Unicode MS" w:hAnsi="Arial" w:cs="Arial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7498D"/>
    <w:pPr>
      <w:tabs>
        <w:tab w:val="right" w:leader="dot" w:pos="9344"/>
      </w:tabs>
      <w:spacing w:line="240" w:lineRule="auto"/>
    </w:pPr>
  </w:style>
  <w:style w:type="paragraph" w:styleId="12">
    <w:name w:val="toc 1"/>
    <w:basedOn w:val="a"/>
    <w:next w:val="a"/>
    <w:autoRedefine/>
    <w:uiPriority w:val="39"/>
    <w:unhideWhenUsed/>
    <w:qFormat/>
    <w:rsid w:val="00395B1F"/>
    <w:pPr>
      <w:tabs>
        <w:tab w:val="left" w:pos="1276"/>
        <w:tab w:val="right" w:leader="dot" w:pos="9344"/>
      </w:tabs>
      <w:spacing w:line="240" w:lineRule="auto"/>
      <w:ind w:firstLine="0"/>
    </w:pPr>
  </w:style>
  <w:style w:type="character" w:styleId="aa">
    <w:name w:val="Hyperlink"/>
    <w:basedOn w:val="a0"/>
    <w:uiPriority w:val="99"/>
    <w:unhideWhenUsed/>
    <w:rsid w:val="00E7498D"/>
    <w:rPr>
      <w:color w:val="0000FF" w:themeColor="hyperlink"/>
      <w:u w:val="single"/>
    </w:rPr>
  </w:style>
  <w:style w:type="paragraph" w:styleId="22">
    <w:name w:val="Body Text Indent 2"/>
    <w:basedOn w:val="a"/>
    <w:link w:val="23"/>
    <w:uiPriority w:val="99"/>
    <w:unhideWhenUsed/>
    <w:rsid w:val="00E7498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7498D"/>
    <w:rPr>
      <w:rFonts w:ascii="Times New Roman" w:eastAsia="Times New Roman" w:hAnsi="Times New Roman" w:cs="Times New Roman"/>
      <w:bCs/>
      <w:kern w:val="36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E7498D"/>
    <w:pPr>
      <w:spacing w:line="240" w:lineRule="auto"/>
      <w:ind w:left="708"/>
    </w:pPr>
    <w:rPr>
      <w:sz w:val="28"/>
      <w:szCs w:val="28"/>
    </w:rPr>
  </w:style>
  <w:style w:type="paragraph" w:styleId="24">
    <w:name w:val="Body Text 2"/>
    <w:basedOn w:val="a"/>
    <w:link w:val="25"/>
    <w:rsid w:val="00E7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7498D"/>
    <w:rPr>
      <w:rFonts w:ascii="Times New Roman" w:eastAsia="Times New Roman" w:hAnsi="Times New Roman" w:cs="Times New Roman"/>
      <w:bCs/>
      <w:kern w:val="36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E61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61BD"/>
    <w:rPr>
      <w:rFonts w:ascii="Times New Roman" w:eastAsia="Times New Roman" w:hAnsi="Times New Roman" w:cs="Times New Roman"/>
      <w:bCs/>
      <w:kern w:val="36"/>
      <w:sz w:val="16"/>
      <w:szCs w:val="16"/>
      <w:lang w:eastAsia="ru-RU"/>
    </w:rPr>
  </w:style>
  <w:style w:type="paragraph" w:styleId="ad">
    <w:name w:val="No Spacing"/>
    <w:basedOn w:val="a"/>
    <w:uiPriority w:val="1"/>
    <w:qFormat/>
    <w:rsid w:val="00882E78"/>
    <w:pPr>
      <w:spacing w:before="240" w:after="240" w:line="240" w:lineRule="auto"/>
      <w:ind w:firstLine="0"/>
      <w:jc w:val="left"/>
      <w:outlineLvl w:val="9"/>
    </w:pPr>
    <w:rPr>
      <w:bCs w:val="0"/>
      <w:color w:val="252525"/>
      <w:kern w:val="0"/>
    </w:rPr>
  </w:style>
  <w:style w:type="paragraph" w:customStyle="1" w:styleId="ConsPlusNormal">
    <w:name w:val="ConsPlusNormal"/>
    <w:rsid w:val="00A33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017AB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017AB"/>
    <w:rPr>
      <w:rFonts w:ascii="Times New Roman" w:eastAsia="Times New Roman" w:hAnsi="Times New Roman" w:cs="Times New Roman"/>
      <w:bCs/>
      <w:kern w:val="36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017AB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017AB"/>
    <w:rPr>
      <w:rFonts w:ascii="Times New Roman" w:eastAsia="Times New Roman" w:hAnsi="Times New Roman" w:cs="Times New Roman"/>
      <w:bCs/>
      <w:kern w:val="36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017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17AB"/>
    <w:rPr>
      <w:rFonts w:ascii="Tahoma" w:eastAsia="Times New Roman" w:hAnsi="Tahoma" w:cs="Tahoma"/>
      <w:bCs/>
      <w:kern w:val="36"/>
      <w:sz w:val="16"/>
      <w:szCs w:val="16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43E7F"/>
    <w:pPr>
      <w:spacing w:after="100" w:line="276" w:lineRule="auto"/>
      <w:ind w:left="44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D43E7F"/>
    <w:pPr>
      <w:spacing w:after="100" w:line="276" w:lineRule="auto"/>
      <w:ind w:left="66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D43E7F"/>
    <w:pPr>
      <w:spacing w:after="100" w:line="276" w:lineRule="auto"/>
      <w:ind w:left="88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D43E7F"/>
    <w:pPr>
      <w:spacing w:after="100" w:line="276" w:lineRule="auto"/>
      <w:ind w:left="110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43E7F"/>
    <w:pPr>
      <w:spacing w:after="100" w:line="276" w:lineRule="auto"/>
      <w:ind w:left="132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43E7F"/>
    <w:pPr>
      <w:spacing w:after="100" w:line="276" w:lineRule="auto"/>
      <w:ind w:left="154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D43E7F"/>
    <w:pPr>
      <w:spacing w:after="100" w:line="276" w:lineRule="auto"/>
      <w:ind w:left="176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customStyle="1" w:styleId="ConsPlusNonformat">
    <w:name w:val="ConsPlusNonformat"/>
    <w:uiPriority w:val="99"/>
    <w:rsid w:val="00050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Основной текст + Полужирный4"/>
    <w:basedOn w:val="a0"/>
    <w:uiPriority w:val="99"/>
    <w:rsid w:val="00D61850"/>
  </w:style>
  <w:style w:type="paragraph" w:styleId="af4">
    <w:name w:val="Title"/>
    <w:basedOn w:val="a"/>
    <w:link w:val="af5"/>
    <w:qFormat/>
    <w:rsid w:val="00981B71"/>
    <w:pPr>
      <w:spacing w:line="240" w:lineRule="auto"/>
      <w:ind w:firstLine="0"/>
      <w:jc w:val="center"/>
      <w:outlineLvl w:val="9"/>
    </w:pPr>
    <w:rPr>
      <w:b/>
      <w:bCs w:val="0"/>
      <w:kern w:val="0"/>
      <w:sz w:val="28"/>
    </w:rPr>
  </w:style>
  <w:style w:type="character" w:customStyle="1" w:styleId="af5">
    <w:name w:val="Название Знак"/>
    <w:basedOn w:val="a0"/>
    <w:link w:val="af4"/>
    <w:rsid w:val="00981B7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B87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  <w:outlineLvl w:val="9"/>
    </w:pPr>
    <w:rPr>
      <w:rFonts w:ascii="Courier New" w:hAnsi="Courier New"/>
      <w:bCs w:val="0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7B29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uiPriority w:val="34"/>
    <w:rsid w:val="001753A1"/>
    <w:rPr>
      <w:rFonts w:ascii="Times New Roman" w:eastAsia="Times New Roman" w:hAnsi="Times New Roman" w:cs="Times New Roman"/>
      <w:bCs/>
      <w:kern w:val="36"/>
      <w:sz w:val="28"/>
      <w:szCs w:val="28"/>
      <w:lang w:eastAsia="ru-RU"/>
    </w:rPr>
  </w:style>
  <w:style w:type="character" w:customStyle="1" w:styleId="af6">
    <w:name w:val="Основной текст_"/>
    <w:basedOn w:val="a0"/>
    <w:link w:val="120"/>
    <w:rsid w:val="00C81D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pt1pt">
    <w:name w:val="Основной текст + 10 pt;Интервал 1 pt"/>
    <w:basedOn w:val="af6"/>
    <w:rsid w:val="00C81DE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0">
    <w:name w:val="Основной текст6"/>
    <w:basedOn w:val="af6"/>
    <w:rsid w:val="00C81D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0">
    <w:name w:val="Основной текст12"/>
    <w:basedOn w:val="a"/>
    <w:link w:val="af6"/>
    <w:rsid w:val="00C81DE7"/>
    <w:pPr>
      <w:shd w:val="clear" w:color="auto" w:fill="FFFFFF"/>
      <w:spacing w:after="120" w:line="0" w:lineRule="atLeast"/>
      <w:ind w:hanging="7860"/>
      <w:jc w:val="left"/>
      <w:outlineLvl w:val="9"/>
    </w:pPr>
    <w:rPr>
      <w:bCs w:val="0"/>
      <w:kern w:val="0"/>
      <w:sz w:val="21"/>
      <w:szCs w:val="21"/>
      <w:lang w:eastAsia="en-US"/>
    </w:rPr>
  </w:style>
  <w:style w:type="character" w:customStyle="1" w:styleId="70">
    <w:name w:val="Основной текст7"/>
    <w:basedOn w:val="af6"/>
    <w:rsid w:val="00C81D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0">
    <w:name w:val="Основной текст9"/>
    <w:basedOn w:val="af6"/>
    <w:rsid w:val="00C81D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f6"/>
    <w:rsid w:val="00C81D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0">
    <w:name w:val="Основной текст11"/>
    <w:basedOn w:val="af6"/>
    <w:rsid w:val="00C81D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7">
    <w:name w:val="Основной текст + Курсив"/>
    <w:basedOn w:val="af6"/>
    <w:rsid w:val="00C81DE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1">
    <w:name w:val="Основной текст4"/>
    <w:basedOn w:val="af6"/>
    <w:rsid w:val="00C81D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0">
    <w:name w:val="Основной текст5"/>
    <w:basedOn w:val="af6"/>
    <w:rsid w:val="00C81D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f8">
    <w:name w:val="FollowedHyperlink"/>
    <w:basedOn w:val="a0"/>
    <w:uiPriority w:val="99"/>
    <w:semiHidden/>
    <w:unhideWhenUsed/>
    <w:rsid w:val="00055C45"/>
    <w:rPr>
      <w:color w:val="800080"/>
      <w:u w:val="single"/>
    </w:rPr>
  </w:style>
  <w:style w:type="paragraph" w:customStyle="1" w:styleId="xl63">
    <w:name w:val="xl63"/>
    <w:basedOn w:val="a"/>
    <w:rsid w:val="00055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  <w:outlineLvl w:val="9"/>
    </w:pPr>
    <w:rPr>
      <w:bCs w:val="0"/>
      <w:kern w:val="0"/>
    </w:rPr>
  </w:style>
  <w:style w:type="paragraph" w:customStyle="1" w:styleId="xl64">
    <w:name w:val="xl64"/>
    <w:basedOn w:val="a"/>
    <w:rsid w:val="00055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  <w:outlineLvl w:val="9"/>
    </w:pPr>
    <w:rPr>
      <w:b/>
      <w:kern w:val="0"/>
    </w:rPr>
  </w:style>
  <w:style w:type="paragraph" w:customStyle="1" w:styleId="xl65">
    <w:name w:val="xl65"/>
    <w:basedOn w:val="a"/>
    <w:rsid w:val="00055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top"/>
      <w:outlineLvl w:val="9"/>
    </w:pPr>
    <w:rPr>
      <w:bCs w:val="0"/>
      <w:kern w:val="0"/>
    </w:rPr>
  </w:style>
  <w:style w:type="paragraph" w:customStyle="1" w:styleId="xl66">
    <w:name w:val="xl66"/>
    <w:basedOn w:val="a"/>
    <w:rsid w:val="00055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right"/>
      <w:textAlignment w:val="center"/>
      <w:outlineLvl w:val="9"/>
    </w:pPr>
    <w:rPr>
      <w:rFonts w:ascii="Calibri" w:hAnsi="Calibri" w:cs="Calibri"/>
      <w:bCs w:val="0"/>
      <w:kern w:val="0"/>
    </w:rPr>
  </w:style>
  <w:style w:type="paragraph" w:customStyle="1" w:styleId="xl67">
    <w:name w:val="xl67"/>
    <w:basedOn w:val="a"/>
    <w:rsid w:val="00055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D7D7"/>
      <w:spacing w:before="100" w:beforeAutospacing="1" w:after="100" w:afterAutospacing="1" w:line="240" w:lineRule="auto"/>
      <w:ind w:firstLine="0"/>
      <w:jc w:val="right"/>
      <w:textAlignment w:val="center"/>
      <w:outlineLvl w:val="9"/>
    </w:pPr>
    <w:rPr>
      <w:rFonts w:ascii="Calibri" w:hAnsi="Calibri" w:cs="Calibri"/>
      <w:bCs w:val="0"/>
      <w:kern w:val="0"/>
    </w:rPr>
  </w:style>
  <w:style w:type="paragraph" w:customStyle="1" w:styleId="xl68">
    <w:name w:val="xl68"/>
    <w:basedOn w:val="a"/>
    <w:rsid w:val="00055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right"/>
      <w:textAlignment w:val="center"/>
      <w:outlineLvl w:val="9"/>
    </w:pPr>
    <w:rPr>
      <w:rFonts w:ascii="Calibri" w:hAnsi="Calibri" w:cs="Calibri"/>
      <w:bCs w:val="0"/>
      <w:kern w:val="0"/>
    </w:rPr>
  </w:style>
  <w:style w:type="paragraph" w:customStyle="1" w:styleId="xl69">
    <w:name w:val="xl69"/>
    <w:basedOn w:val="a"/>
    <w:rsid w:val="00055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D7D7"/>
      <w:spacing w:before="100" w:beforeAutospacing="1" w:after="100" w:afterAutospacing="1" w:line="240" w:lineRule="auto"/>
      <w:ind w:firstLine="0"/>
      <w:jc w:val="right"/>
      <w:textAlignment w:val="center"/>
      <w:outlineLvl w:val="9"/>
    </w:pPr>
    <w:rPr>
      <w:rFonts w:ascii="Calibri" w:hAnsi="Calibri" w:cs="Calibri"/>
      <w:bCs w:val="0"/>
      <w:kern w:val="0"/>
    </w:rPr>
  </w:style>
  <w:style w:type="paragraph" w:customStyle="1" w:styleId="xl70">
    <w:name w:val="xl70"/>
    <w:basedOn w:val="a"/>
    <w:rsid w:val="00055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right"/>
      <w:textAlignment w:val="center"/>
      <w:outlineLvl w:val="9"/>
    </w:pPr>
    <w:rPr>
      <w:rFonts w:ascii="Calibri" w:hAnsi="Calibri" w:cs="Calibri"/>
      <w:bCs w:val="0"/>
      <w:kern w:val="0"/>
    </w:rPr>
  </w:style>
  <w:style w:type="paragraph" w:customStyle="1" w:styleId="xl71">
    <w:name w:val="xl71"/>
    <w:basedOn w:val="a"/>
    <w:rsid w:val="00055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D7D7"/>
      <w:spacing w:before="100" w:beforeAutospacing="1" w:after="100" w:afterAutospacing="1" w:line="240" w:lineRule="auto"/>
      <w:ind w:firstLine="0"/>
      <w:jc w:val="right"/>
      <w:textAlignment w:val="center"/>
      <w:outlineLvl w:val="9"/>
    </w:pPr>
    <w:rPr>
      <w:rFonts w:ascii="Calibri" w:hAnsi="Calibri" w:cs="Calibri"/>
      <w:bCs w:val="0"/>
      <w:kern w:val="0"/>
    </w:rPr>
  </w:style>
  <w:style w:type="paragraph" w:customStyle="1" w:styleId="xl72">
    <w:name w:val="xl72"/>
    <w:basedOn w:val="a"/>
    <w:rsid w:val="00055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right"/>
      <w:textAlignment w:val="center"/>
      <w:outlineLvl w:val="9"/>
    </w:pPr>
    <w:rPr>
      <w:rFonts w:ascii="Calibri" w:hAnsi="Calibri" w:cs="Calibri"/>
      <w:bCs w:val="0"/>
      <w:kern w:val="0"/>
    </w:rPr>
  </w:style>
  <w:style w:type="paragraph" w:customStyle="1" w:styleId="xl73">
    <w:name w:val="xl73"/>
    <w:basedOn w:val="a"/>
    <w:rsid w:val="00055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D7D7"/>
      <w:spacing w:before="100" w:beforeAutospacing="1" w:after="100" w:afterAutospacing="1" w:line="240" w:lineRule="auto"/>
      <w:ind w:firstLine="0"/>
      <w:jc w:val="right"/>
      <w:textAlignment w:val="center"/>
      <w:outlineLvl w:val="9"/>
    </w:pPr>
    <w:rPr>
      <w:rFonts w:ascii="Calibri" w:hAnsi="Calibri" w:cs="Calibri"/>
      <w:bCs w:val="0"/>
      <w:kern w:val="0"/>
    </w:rPr>
  </w:style>
  <w:style w:type="paragraph" w:customStyle="1" w:styleId="xl74">
    <w:name w:val="xl74"/>
    <w:basedOn w:val="a"/>
    <w:rsid w:val="00AA08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  <w:outlineLvl w:val="9"/>
    </w:pPr>
    <w:rPr>
      <w:b/>
      <w:kern w:val="0"/>
    </w:rPr>
  </w:style>
  <w:style w:type="paragraph" w:customStyle="1" w:styleId="xl75">
    <w:name w:val="xl75"/>
    <w:basedOn w:val="a"/>
    <w:rsid w:val="00AA08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  <w:outlineLvl w:val="9"/>
    </w:pPr>
    <w:rPr>
      <w:b/>
      <w:kern w:val="0"/>
    </w:rPr>
  </w:style>
  <w:style w:type="paragraph" w:customStyle="1" w:styleId="xl76">
    <w:name w:val="xl76"/>
    <w:basedOn w:val="a"/>
    <w:rsid w:val="00AA0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D7D7"/>
      <w:spacing w:before="100" w:beforeAutospacing="1" w:after="100" w:afterAutospacing="1" w:line="240" w:lineRule="auto"/>
      <w:ind w:firstLine="0"/>
      <w:jc w:val="right"/>
      <w:textAlignment w:val="center"/>
      <w:outlineLvl w:val="9"/>
    </w:pPr>
    <w:rPr>
      <w:rFonts w:ascii="Calibri" w:hAnsi="Calibri" w:cs="Calibri"/>
      <w:bCs w:val="0"/>
      <w:kern w:val="0"/>
    </w:rPr>
  </w:style>
  <w:style w:type="paragraph" w:customStyle="1" w:styleId="xl77">
    <w:name w:val="xl77"/>
    <w:basedOn w:val="a"/>
    <w:rsid w:val="00AA08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  <w:outlineLvl w:val="9"/>
    </w:pPr>
    <w:rPr>
      <w:b/>
      <w:kern w:val="0"/>
    </w:rPr>
  </w:style>
  <w:style w:type="paragraph" w:customStyle="1" w:styleId="xl78">
    <w:name w:val="xl78"/>
    <w:basedOn w:val="a"/>
    <w:rsid w:val="00AA0847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  <w:outlineLvl w:val="9"/>
    </w:pPr>
    <w:rPr>
      <w:b/>
      <w:kern w:val="0"/>
    </w:rPr>
  </w:style>
  <w:style w:type="paragraph" w:customStyle="1" w:styleId="xl79">
    <w:name w:val="xl79"/>
    <w:basedOn w:val="a"/>
    <w:rsid w:val="00AA08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  <w:outlineLvl w:val="9"/>
    </w:pPr>
    <w:rPr>
      <w:b/>
      <w:kern w:val="0"/>
    </w:rPr>
  </w:style>
  <w:style w:type="paragraph" w:customStyle="1" w:styleId="xl80">
    <w:name w:val="xl80"/>
    <w:basedOn w:val="a"/>
    <w:rsid w:val="00AA08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  <w:outlineLvl w:val="9"/>
    </w:pPr>
    <w:rPr>
      <w:b/>
      <w:kern w:val="0"/>
    </w:rPr>
  </w:style>
  <w:style w:type="paragraph" w:customStyle="1" w:styleId="xl81">
    <w:name w:val="xl81"/>
    <w:basedOn w:val="a"/>
    <w:rsid w:val="00AA084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  <w:outlineLvl w:val="9"/>
    </w:pPr>
    <w:rPr>
      <w:b/>
      <w:kern w:val="0"/>
    </w:rPr>
  </w:style>
  <w:style w:type="paragraph" w:customStyle="1" w:styleId="xl82">
    <w:name w:val="xl82"/>
    <w:basedOn w:val="a"/>
    <w:rsid w:val="00AA08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  <w:outlineLvl w:val="9"/>
    </w:pPr>
    <w:rPr>
      <w:b/>
      <w:kern w:val="0"/>
    </w:rPr>
  </w:style>
  <w:style w:type="paragraph" w:customStyle="1" w:styleId="13">
    <w:name w:val="Обычный1"/>
    <w:basedOn w:val="a"/>
    <w:uiPriority w:val="99"/>
    <w:rsid w:val="0083780E"/>
    <w:pPr>
      <w:spacing w:after="200" w:line="276" w:lineRule="auto"/>
      <w:ind w:firstLine="0"/>
      <w:jc w:val="left"/>
      <w:outlineLvl w:val="9"/>
    </w:pPr>
    <w:rPr>
      <w:rFonts w:ascii="Calibri" w:eastAsiaTheme="minorHAnsi" w:hAnsi="Calibri"/>
      <w:bCs w:val="0"/>
      <w:color w:val="000000"/>
      <w:kern w:val="0"/>
      <w:sz w:val="20"/>
      <w:szCs w:val="20"/>
    </w:rPr>
  </w:style>
  <w:style w:type="paragraph" w:styleId="af9">
    <w:name w:val="Plain Text"/>
    <w:basedOn w:val="a"/>
    <w:link w:val="afa"/>
    <w:uiPriority w:val="99"/>
    <w:semiHidden/>
    <w:unhideWhenUsed/>
    <w:qFormat/>
    <w:rsid w:val="00D46840"/>
    <w:pPr>
      <w:spacing w:line="240" w:lineRule="auto"/>
      <w:ind w:firstLine="0"/>
      <w:jc w:val="left"/>
      <w:outlineLvl w:val="9"/>
    </w:pPr>
    <w:rPr>
      <w:rFonts w:ascii="Calibri" w:eastAsiaTheme="minorHAnsi" w:hAnsi="Calibri" w:cstheme="minorBidi"/>
      <w:bCs w:val="0"/>
      <w:kern w:val="0"/>
      <w:sz w:val="22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D46840"/>
    <w:rPr>
      <w:rFonts w:ascii="Calibri" w:hAnsi="Calibri"/>
      <w:szCs w:val="21"/>
    </w:rPr>
  </w:style>
  <w:style w:type="character" w:customStyle="1" w:styleId="organictextcontentspan">
    <w:name w:val="organictextcontentspan"/>
    <w:basedOn w:val="a0"/>
    <w:rsid w:val="0033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v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.admhma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vraio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0ACF-2B95-4C26-B075-AC129A88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41</Pages>
  <Words>10326</Words>
  <Characters>58864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AleksandrovaIY</dc:creator>
  <cp:lastModifiedBy>Александрова Ирина Юрьевна</cp:lastModifiedBy>
  <cp:revision>44</cp:revision>
  <cp:lastPrinted>2022-04-22T05:20:00Z</cp:lastPrinted>
  <dcterms:created xsi:type="dcterms:W3CDTF">2022-04-11T07:26:00Z</dcterms:created>
  <dcterms:modified xsi:type="dcterms:W3CDTF">2022-04-29T06:45:00Z</dcterms:modified>
</cp:coreProperties>
</file>